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ind w:left="0" w:leftChars="0" w:right="0" w:rightChars="0" w:firstLine="0" w:firstLineChars="0"/>
        <w:jc w:val="center"/>
      </w:pP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变压器直流电阻测试仪DC：≥10A</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ED0204-10 变压器直流电阻测试仪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pageBreakBefore w:val="0"/>
        <w:kinsoku/>
        <w:wordWrap/>
        <w:overflowPunct/>
        <w:topLinePunct w:val="0"/>
        <w:bidi w:val="0"/>
        <w:adjustRightInd/>
        <w:spacing w:line="360" w:lineRule="auto"/>
        <w:jc w:val="center"/>
        <w:textAlignment w:val="auto"/>
        <w:rPr>
          <w:rFonts w:hint="eastAsia" w:ascii="宋体" w:hAnsi="宋体" w:eastAsia="宋体"/>
          <w:b/>
          <w:color w:val="000000"/>
          <w:sz w:val="28"/>
          <w:szCs w:val="28"/>
          <w:lang w:eastAsia="zh-CN"/>
        </w:rPr>
      </w:pPr>
      <w:r>
        <w:drawing>
          <wp:inline distT="0" distB="0" distL="114300" distR="114300">
            <wp:extent cx="5200650" cy="3854450"/>
            <wp:effectExtent l="0" t="0" r="6350" b="6350"/>
            <wp:docPr id="2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pic:cNvPicPr>
                      <a:picLocks noChangeAspect="1"/>
                    </pic:cNvPicPr>
                  </pic:nvPicPr>
                  <pic:blipFill>
                    <a:blip r:embed="rId6"/>
                    <a:stretch>
                      <a:fillRect/>
                    </a:stretch>
                  </pic:blipFill>
                  <pic:spPr>
                    <a:xfrm>
                      <a:off x="0" y="0"/>
                      <a:ext cx="5200650" cy="385445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2、产品介绍</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变压器的直流电阻是变压器制造中半成品、成品出厂试验、安装、交接试验及电力部门预防性试验的必测项目，能有效发现变压器线圈的选材、焊接、连接部位松动、缺股、断线等制造缺陷和运行后存在的隐患。</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为了满足变压器直流电阻快速测量的需要，利用</w:t>
      </w:r>
      <w:r>
        <w:rPr>
          <w:rFonts w:hint="eastAsia" w:ascii="宋体" w:hAnsi="宋体" w:cs="宋体"/>
          <w:kern w:val="2"/>
          <w:sz w:val="24"/>
          <w:szCs w:val="24"/>
          <w:lang w:val="en-US" w:eastAsia="zh-CN" w:bidi="ar-SA"/>
        </w:rPr>
        <w:t>武汉鄂电电力试验设备有限公司</w:t>
      </w:r>
      <w:r>
        <w:rPr>
          <w:rFonts w:hint="eastAsia" w:ascii="宋体" w:hAnsi="宋体" w:eastAsia="宋体" w:cs="宋体"/>
          <w:kern w:val="2"/>
          <w:sz w:val="24"/>
          <w:szCs w:val="24"/>
          <w:lang w:val="en-US" w:eastAsia="zh-CN" w:bidi="ar-SA"/>
        </w:rPr>
        <w:t>公司自身技术优势开发研制了新一代系列直流电阻测试仪。</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ED0204-10型直流电阻测试仪采用全新程控线性恒流源技术，具有输出电流大，电流档位多，体积小，重量轻等特点。整机由单片机控制，自动完成自检、数据处理、显示、保存、打印等功能，采用精密电子测量技术，使得仪器测量精度高，测量范围宽，操作简便，可实现变压器和电压互感器的感性电阻快速测量。</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3、功能特点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采用高精密电子测量技术和高性能单片机，使得仪器具有测量精度高，数值稳定，重复性好等特点。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可根据负载情况选择合适电流，电流档位多，最大可以输出10A电流。</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具有打印、存储、实时查看数据等功能。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采用了大屏幕汉字显示、菜单操作，界面友好，一目了然，方便操作。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微型打印机为热敏式打印机，速度快，表面可直接安装打印纸。</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具有自动放电和放电音响报警指示等功能。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通过RS232串行口对设备内的数据进行管理，实现无纸化办公。</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4、技术参数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1、输出电流：10A、5A、1A 、100mA 、10 mA、1mA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2、量程：       2Ω-20KΩ     </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（1mA档）</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0.2Ω-2KΩ     （10mA档）</w:t>
      </w:r>
    </w:p>
    <w:p>
      <w:pPr>
        <w:keepNext w:val="0"/>
        <w:keepLines w:val="0"/>
        <w:pageBreakBefore w:val="0"/>
        <w:widowControl w:val="0"/>
        <w:kinsoku/>
        <w:wordWrap/>
        <w:overflowPunct/>
        <w:topLinePunct w:val="0"/>
        <w:autoSpaceDE/>
        <w:autoSpaceDN/>
        <w:bidi w:val="0"/>
        <w:adjustRightInd/>
        <w:snapToGrid w:val="0"/>
        <w:spacing w:line="360" w:lineRule="auto"/>
        <w:ind w:firstLine="2400" w:firstLineChars="10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20mΩ-200Ω     (100mA档)</w:t>
      </w:r>
    </w:p>
    <w:p>
      <w:pPr>
        <w:keepNext w:val="0"/>
        <w:keepLines w:val="0"/>
        <w:pageBreakBefore w:val="0"/>
        <w:widowControl w:val="0"/>
        <w:kinsoku/>
        <w:wordWrap/>
        <w:overflowPunct/>
        <w:topLinePunct w:val="0"/>
        <w:autoSpaceDE/>
        <w:autoSpaceDN/>
        <w:bidi w:val="0"/>
        <w:adjustRightInd/>
        <w:snapToGrid w:val="0"/>
        <w:spacing w:line="360" w:lineRule="auto"/>
        <w:ind w:firstLine="2400" w:firstLineChars="10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2mΩ-20Ω</w:t>
      </w:r>
      <w:r>
        <w:rPr>
          <w:rFonts w:hint="eastAsia" w:ascii="宋体" w:hAnsi="宋体" w:eastAsia="宋体" w:cs="宋体"/>
          <w:kern w:val="2"/>
          <w:sz w:val="24"/>
          <w:szCs w:val="24"/>
          <w:lang w:val="en-US" w:eastAsia="zh-CN" w:bidi="ar-SA"/>
        </w:rPr>
        <w:tab/>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(1A档)</w:t>
      </w:r>
    </w:p>
    <w:p>
      <w:pPr>
        <w:keepNext w:val="0"/>
        <w:keepLines w:val="0"/>
        <w:pageBreakBefore w:val="0"/>
        <w:widowControl w:val="0"/>
        <w:kinsoku/>
        <w:wordWrap/>
        <w:overflowPunct/>
        <w:topLinePunct w:val="0"/>
        <w:autoSpaceDE/>
        <w:autoSpaceDN/>
        <w:bidi w:val="0"/>
        <w:adjustRightInd/>
        <w:snapToGrid w:val="0"/>
        <w:spacing w:line="360" w:lineRule="auto"/>
        <w:ind w:firstLine="2400" w:firstLineChars="10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0.4mΩ-4Ω</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(5A档)</w:t>
      </w:r>
    </w:p>
    <w:p>
      <w:pPr>
        <w:keepNext w:val="0"/>
        <w:keepLines w:val="0"/>
        <w:pageBreakBefore w:val="0"/>
        <w:widowControl w:val="0"/>
        <w:kinsoku/>
        <w:wordWrap/>
        <w:overflowPunct/>
        <w:topLinePunct w:val="0"/>
        <w:autoSpaceDE/>
        <w:autoSpaceDN/>
        <w:bidi w:val="0"/>
        <w:adjustRightInd/>
        <w:snapToGrid w:val="0"/>
        <w:spacing w:line="360" w:lineRule="auto"/>
        <w:ind w:firstLine="2400" w:firstLineChars="10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0.2mΩ-2Ω</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 xml:space="preserve">     </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 xml:space="preserve"> (10A档)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3、准确度：0.2%±2μΩ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4、分辨率：1μΩ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5、工作温度：-20～40℃</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6、环境湿度：≤90%RH，无结露</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7、工作电源：AC220V±10%，50HZ±1HZ</w:t>
      </w: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23855"/>
      <w:bookmarkStart w:id="1" w:name="_Toc161053131"/>
      <w:bookmarkStart w:id="2" w:name="_Toc288133217"/>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0"/>
    <w:family w:val="auto"/>
    <w:pitch w:val="default"/>
    <w:sig w:usb0="00000000" w:usb1="00000000" w:usb2="00000000" w:usb3="00000000" w:csb0="0000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0733D43"/>
    <w:rsid w:val="04C11DFC"/>
    <w:rsid w:val="0DE06C7E"/>
    <w:rsid w:val="22EF5AD0"/>
    <w:rsid w:val="28FA600D"/>
    <w:rsid w:val="293C05F0"/>
    <w:rsid w:val="2D513B8A"/>
    <w:rsid w:val="2DDC7647"/>
    <w:rsid w:val="3BF81CCC"/>
    <w:rsid w:val="3E980D29"/>
    <w:rsid w:val="4D93277E"/>
    <w:rsid w:val="53CC6539"/>
    <w:rsid w:val="58383F39"/>
    <w:rsid w:val="6A5F1FAC"/>
    <w:rsid w:val="73507CF3"/>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646</Words>
  <Characters>724</Characters>
  <Lines>0</Lines>
  <Paragraphs>0</Paragraphs>
  <TotalTime>0</TotalTime>
  <ScaleCrop>false</ScaleCrop>
  <LinksUpToDate>false</LinksUpToDate>
  <CharactersWithSpaces>772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2020-05-08T02:00:10Z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