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keepNext w:val="0"/>
        <w:keepLines w:val="0"/>
        <w:pageBreakBefore w:val="0"/>
        <w:widowControl w:val="0"/>
        <w:numPr>
          <w:ilvl w:val="0"/>
          <w:numId w:val="0"/>
        </w:numPr>
        <w:kinsoku/>
        <w:wordWrap/>
        <w:overflowPunct/>
        <w:topLinePunct w:val="0"/>
        <w:autoSpaceDE/>
        <w:autoSpaceDN/>
        <w:bidi w:val="0"/>
        <w:adjustRightInd/>
        <w:spacing w:line="360" w:lineRule="auto"/>
        <w:jc w:val="left"/>
        <w:textAlignment w:val="auto"/>
        <w:rPr>
          <w:rFonts w:hint="eastAsia" w:ascii="宋体" w:hAnsi="宋体" w:eastAsia="宋体" w:cs="宋体"/>
          <w:b/>
          <w:bCs/>
          <w:i w:val="0"/>
          <w:color w:val="FF0000"/>
          <w:kern w:val="0"/>
          <w:sz w:val="28"/>
          <w:szCs w:val="28"/>
          <w:u w:val="none"/>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高压介质损耗测试装置</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1、介质测量精度为1% 2、电容量精度为0.5%    3、抗干扰变频</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宋体" w:hAnsi="宋体" w:eastAsia="宋体" w:cs="宋体"/>
          <w:b/>
          <w:bCs/>
          <w:i w:val="0"/>
          <w:color w:val="FF0000"/>
          <w:kern w:val="0"/>
          <w:sz w:val="28"/>
          <w:szCs w:val="28"/>
          <w:u w:val="none"/>
          <w:lang w:val="en-US" w:eastAsia="zh-CN" w:bidi="ar"/>
        </w:rPr>
      </w:pPr>
      <w:r>
        <w:rPr>
          <w:rFonts w:hint="eastAsia" w:ascii="宋体" w:hAnsi="宋体" w:eastAsia="宋体" w:cs="宋体"/>
          <w:b/>
          <w:bCs/>
          <w:i w:val="0"/>
          <w:color w:val="FF0000"/>
          <w:kern w:val="0"/>
          <w:sz w:val="28"/>
          <w:szCs w:val="28"/>
          <w:u w:val="none"/>
          <w:lang w:val="en-US" w:eastAsia="zh-CN" w:bidi="ar"/>
        </w:rPr>
        <w:t>EDJS9000 介质损耗测试仪</w:t>
      </w:r>
    </w:p>
    <w:p>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b/>
          <w:sz w:val="28"/>
          <w:szCs w:val="28"/>
          <w:lang w:val="en-US" w:eastAsia="zh-CN"/>
        </w:rPr>
      </w:pPr>
      <w:r>
        <w:rPr>
          <w:rFonts w:hint="eastAsia" w:ascii="宋体" w:hAnsi="宋体"/>
          <w:b/>
          <w:sz w:val="28"/>
          <w:szCs w:val="28"/>
          <w:lang w:val="en-US" w:eastAsia="zh-CN"/>
        </w:rPr>
        <w:t>1、产品图片</w:t>
      </w:r>
    </w:p>
    <w:p>
      <w:pPr>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b w:val="0"/>
          <w:bCs w:val="0"/>
          <w:color w:val="FF0000"/>
          <w:kern w:val="44"/>
          <w:sz w:val="36"/>
          <w:szCs w:val="36"/>
          <w:lang w:val="en-US" w:eastAsia="zh-CN" w:bidi="ar-SA"/>
        </w:rPr>
      </w:pPr>
      <w:r>
        <w:drawing>
          <wp:inline distT="0" distB="0" distL="114300" distR="114300">
            <wp:extent cx="5295900" cy="4076700"/>
            <wp:effectExtent l="0" t="0" r="0" b="0"/>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6"/>
                    <a:stretch>
                      <a:fillRect/>
                    </a:stretch>
                  </pic:blipFill>
                  <pic:spPr>
                    <a:xfrm>
                      <a:off x="0" y="0"/>
                      <a:ext cx="5295900" cy="40767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pacing w:line="360" w:lineRule="auto"/>
        <w:textAlignment w:val="auto"/>
        <w:rPr>
          <w:rFonts w:hint="eastAsia" w:ascii="宋体" w:hAnsi="宋体"/>
          <w:b/>
          <w:sz w:val="28"/>
          <w:szCs w:val="28"/>
        </w:rPr>
      </w:pPr>
      <w:r>
        <w:rPr>
          <w:rFonts w:hint="eastAsia" w:ascii="宋体" w:hAnsi="宋体"/>
          <w:b/>
          <w:sz w:val="28"/>
          <w:szCs w:val="28"/>
          <w:lang w:val="en-US" w:eastAsia="zh-CN"/>
        </w:rPr>
        <w:t>2、</w:t>
      </w:r>
      <w:r>
        <w:rPr>
          <w:rFonts w:hint="eastAsia" w:ascii="宋体" w:hAnsi="宋体"/>
          <w:b/>
          <w:sz w:val="28"/>
          <w:szCs w:val="28"/>
          <w:lang w:eastAsia="zh-CN"/>
        </w:rPr>
        <w:t>功能特点</w:t>
      </w:r>
    </w:p>
    <w:p>
      <w:pPr>
        <w:keepNext w:val="0"/>
        <w:keepLines w:val="0"/>
        <w:pageBreakBefore w:val="0"/>
        <w:widowControl w:val="0"/>
        <w:numPr>
          <w:ilvl w:val="0"/>
          <w:numId w:val="0"/>
        </w:numPr>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lang w:eastAsia="zh-CN"/>
        </w:rPr>
      </w:pPr>
      <w:r>
        <w:rPr>
          <w:rFonts w:ascii="宋体" w:hAnsi="宋体" w:eastAsia="宋体" w:cs="宋体"/>
          <w:sz w:val="24"/>
          <w:szCs w:val="24"/>
        </w:rPr>
        <w:t>EDJS-9000自动抗干扰精密介损测试仪</w:t>
      </w:r>
      <w:r>
        <w:rPr>
          <w:rFonts w:hint="eastAsia" w:ascii="宋体" w:hAnsi="宋体" w:eastAsia="宋体" w:cs="宋体"/>
          <w:sz w:val="24"/>
          <w:szCs w:val="24"/>
        </w:rPr>
        <w:t>是发电厂、变电站等现场或实验室测试各种高压电力设备介损正切值及电容量的高精度测试仪器。仪器为一体化结构，内置介损测试电桥，可变频调压电源，升压变压器和SF6 高稳定度标准电容器。测试高压源由仪器内部的逆变器产生，经变压器升压后用于被试品测试。频率可变为45Hz或55Hz，55Hz或65Hz，采用数字陷波技术，避开了工频电场对测试的干扰，从根本上解决了强电场干扰下准确测量的难题。同时适用于全部停电后用发电机供电检测的场合。该仪器配以绝缘油杯可测试绝缘油介质损耗。</w:t>
      </w:r>
      <w:r>
        <w:rPr>
          <w:rFonts w:hint="eastAsia" w:ascii="宋体" w:hAnsi="宋体" w:eastAsia="宋体" w:cs="宋体"/>
          <w:sz w:val="24"/>
          <w:szCs w:val="24"/>
          <w:lang w:eastAsia="zh-CN"/>
        </w:rPr>
        <w:t>该产品功能特点如下：</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超大液晶中文显示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仪器配备了大屏幕（105mm×65mm）中文菜单界面，屏显分为左右两部分，左边为功能菜单区，右边为相关状态信息提示，每一步都非常清楚，操作人员不需要专业培训就能使用。一次操作，微机自动完成全过程的测量，是目前非常理想的介损测量设备。</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海量存储数据</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仪器内部配备有日历芯片和大容量存储器，能将检测结果按时间顺序保存，随时可以查看历史记录，并可以打印输出；</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科学先进的数据管理</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仪器数据可以通过U盘导出，可在任意一台PC机上通过我公司专用软件，查看和管理数据并可生成工作报告。</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多种测试模式</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仪器能够分别使用内高压、外高压、内标准、外标准、正接法、反接法、自激法等多种方式测试；在外标准外高压情况下可以做高电压（大于10kV）介质损耗。</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CVT测试一步到位</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该仪器还可以测试全密封的CVT（电容式电压互感器）C1、C2的介损和电容量，实现了C1、C2的同时测试。该仪器还可以测试CVT变比和电压角差。</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高速采样信号</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仪器内部的逆变器和采样电路全部由数字化控制，输出电压连续可调。</w:t>
      </w:r>
    </w:p>
    <w:p>
      <w:pPr>
        <w:pStyle w:val="6"/>
        <w:keepNext w:val="0"/>
        <w:keepLines w:val="0"/>
        <w:pageBreakBefore w:val="0"/>
        <w:widowControl w:val="0"/>
        <w:numPr>
          <w:ilvl w:val="2"/>
          <w:numId w:val="2"/>
        </w:numPr>
        <w:kinsoku/>
        <w:wordWrap/>
        <w:overflowPunct/>
        <w:topLinePunct w:val="0"/>
        <w:autoSpaceDE/>
        <w:autoSpaceDN/>
        <w:bidi w:val="0"/>
        <w:adjustRightInd/>
        <w:snapToGrid w:val="0"/>
        <w:spacing w:before="0" w:beforeLines="0" w:line="360" w:lineRule="auto"/>
        <w:ind w:left="851" w:hanging="425"/>
        <w:textAlignment w:val="auto"/>
        <w:rPr>
          <w:rFonts w:hint="eastAsia" w:ascii="宋体" w:hAnsi="宋体"/>
          <w:b/>
          <w:kern w:val="2"/>
          <w:sz w:val="24"/>
          <w:szCs w:val="24"/>
          <w:lang w:val="en-US" w:eastAsia="zh-CN" w:bidi="ar-SA"/>
        </w:rPr>
      </w:pPr>
      <w:r>
        <w:rPr>
          <w:rFonts w:hint="eastAsia" w:ascii="宋体" w:hAnsi="宋体"/>
          <w:b/>
          <w:kern w:val="2"/>
          <w:sz w:val="24"/>
          <w:szCs w:val="24"/>
          <w:lang w:val="en-US" w:eastAsia="zh-CN" w:bidi="ar-SA"/>
        </w:rPr>
        <w:t>多重保护安全可靠</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仪器具备输入电压波动、输出短路、过压、过流、温度等多重保护措施，保证了仪器安全、可靠。仪器还具备接地检测功能，确保不接地设备不允许升压。</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left"/>
        <w:textAlignment w:val="auto"/>
        <w:rPr>
          <w:rFonts w:hint="eastAsia" w:ascii="宋体" w:hAnsi="宋体"/>
          <w:b/>
          <w:sz w:val="28"/>
          <w:szCs w:val="28"/>
        </w:rPr>
      </w:pPr>
      <w:r>
        <w:rPr>
          <w:rFonts w:hint="eastAsia" w:ascii="宋体" w:hAnsi="宋体"/>
          <w:b/>
          <w:sz w:val="28"/>
          <w:szCs w:val="28"/>
          <w:lang w:val="en-US" w:eastAsia="zh-CN"/>
        </w:rPr>
        <w:t>3、</w:t>
      </w:r>
      <w:r>
        <w:rPr>
          <w:rFonts w:hint="eastAsia" w:ascii="宋体" w:hAnsi="宋体"/>
          <w:b/>
          <w:sz w:val="28"/>
          <w:szCs w:val="28"/>
        </w:rPr>
        <w:t>技术参数</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2394"/>
        <w:gridCol w:w="1197"/>
        <w:gridCol w:w="1330"/>
        <w:gridCol w:w="799"/>
        <w:gridCol w:w="2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1</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使用条件</w:t>
            </w: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-15℃∽40℃</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RH＜80%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2</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抗干扰原理</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变频法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3</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电    源</w:t>
            </w: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AC 220V±10%</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允许发电机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restart"/>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4</w:t>
            </w:r>
          </w:p>
        </w:tc>
        <w:tc>
          <w:tcPr>
            <w:tcW w:w="2394" w:type="dxa"/>
            <w:vMerge w:val="restart"/>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高压输出</w:t>
            </w: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0.5KV∽10KV</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每隔0.1kV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精    度</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 xml:space="preserve">最大电流      </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200mA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容    量</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1500VA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5</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自激电源</w:t>
            </w: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AC 0V∽50V/15A</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45HZ/55HZ</w:t>
            </w:r>
          </w:p>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55HZ/65HZ</w:t>
            </w:r>
          </w:p>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45HZ/55HZ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6</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分 辨 率</w:t>
            </w:r>
          </w:p>
        </w:tc>
        <w:tc>
          <w:tcPr>
            <w:tcW w:w="332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tgδ: 0.001%</w:t>
            </w:r>
          </w:p>
        </w:tc>
        <w:tc>
          <w:tcPr>
            <w:tcW w:w="252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Cx: 0.01pF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restart"/>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7</w:t>
            </w:r>
          </w:p>
        </w:tc>
        <w:tc>
          <w:tcPr>
            <w:tcW w:w="2394" w:type="dxa"/>
            <w:vMerge w:val="restart"/>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精    度</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△tgδ:±(读数*1.0%+0.040%)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 x :±(读数*1.0%+1.00PF)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restart"/>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8</w:t>
            </w:r>
          </w:p>
        </w:tc>
        <w:tc>
          <w:tcPr>
            <w:tcW w:w="2394" w:type="dxa"/>
            <w:vMerge w:val="restart"/>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测量范围</w:t>
            </w:r>
          </w:p>
        </w:tc>
        <w:tc>
          <w:tcPr>
            <w:tcW w:w="119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tgδ</w:t>
            </w:r>
          </w:p>
        </w:tc>
        <w:tc>
          <w:tcPr>
            <w:tcW w:w="4656" w:type="dxa"/>
            <w:gridSpan w:val="3"/>
            <w:noWrap w:val="0"/>
            <w:vAlign w:val="center"/>
          </w:tcPr>
          <w:p>
            <w:pPr>
              <w:tabs>
                <w:tab w:val="left" w:pos="2235"/>
              </w:tabs>
              <w:kinsoku w:val="0"/>
              <w:autoSpaceDE w:val="0"/>
              <w:autoSpaceDN w:val="0"/>
              <w:ind w:firstLine="480" w:firstLineChars="200"/>
              <w:rPr>
                <w:rFonts w:hint="eastAsia" w:ascii="宋体" w:hAnsi="宋体"/>
                <w:snapToGrid w:val="0"/>
                <w:kern w:val="0"/>
                <w:sz w:val="24"/>
                <w:szCs w:val="24"/>
              </w:rPr>
            </w:pPr>
            <w:r>
              <w:rPr>
                <w:rFonts w:hint="eastAsia" w:ascii="宋体" w:hAnsi="宋体"/>
                <w:snapToGrid w:val="0"/>
                <w:kern w:val="0"/>
                <w:sz w:val="24"/>
                <w:szCs w:val="24"/>
              </w:rPr>
              <w:t>无限制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1197"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 x</w:t>
            </w:r>
          </w:p>
        </w:tc>
        <w:tc>
          <w:tcPr>
            <w:tcW w:w="4656" w:type="dxa"/>
            <w:gridSpan w:val="3"/>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15pF ＜ Cx ＜ 300nF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1197" w:type="dxa"/>
            <w:noWrap w:val="0"/>
            <w:vAlign w:val="center"/>
          </w:tcPr>
          <w:p>
            <w:pPr>
              <w:tabs>
                <w:tab w:val="left" w:pos="2235"/>
              </w:tabs>
              <w:kinsoku w:val="0"/>
              <w:autoSpaceDE w:val="0"/>
              <w:autoSpaceDN w:val="0"/>
              <w:rPr>
                <w:rFonts w:hint="eastAsia" w:ascii="宋体" w:hAnsi="宋体"/>
                <w:snapToGrid w:val="0"/>
                <w:kern w:val="0"/>
                <w:sz w:val="24"/>
                <w:szCs w:val="24"/>
              </w:rPr>
            </w:pPr>
          </w:p>
        </w:tc>
        <w:tc>
          <w:tcPr>
            <w:tcW w:w="1330"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10KV</w:t>
            </w:r>
          </w:p>
        </w:tc>
        <w:tc>
          <w:tcPr>
            <w:tcW w:w="3326" w:type="dxa"/>
            <w:gridSpan w:val="2"/>
            <w:noWrap w:val="0"/>
            <w:vAlign w:val="center"/>
          </w:tcPr>
          <w:p>
            <w:pPr>
              <w:tabs>
                <w:tab w:val="left" w:pos="2235"/>
              </w:tabs>
              <w:kinsoku w:val="0"/>
              <w:autoSpaceDE w:val="0"/>
              <w:autoSpaceDN w:val="0"/>
              <w:ind w:firstLine="1"/>
              <w:rPr>
                <w:rFonts w:hint="eastAsia" w:ascii="宋体" w:hAnsi="宋体"/>
                <w:snapToGrid w:val="0"/>
                <w:kern w:val="0"/>
                <w:sz w:val="24"/>
                <w:szCs w:val="24"/>
              </w:rPr>
            </w:pPr>
            <w:r>
              <w:rPr>
                <w:rFonts w:hint="eastAsia" w:ascii="宋体" w:hAnsi="宋体"/>
                <w:snapToGrid w:val="0"/>
                <w:kern w:val="0"/>
                <w:sz w:val="24"/>
                <w:szCs w:val="24"/>
              </w:rPr>
              <w:t>Cx ＜ 60  nF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1197" w:type="dxa"/>
            <w:noWrap w:val="0"/>
            <w:vAlign w:val="center"/>
          </w:tcPr>
          <w:p>
            <w:pPr>
              <w:tabs>
                <w:tab w:val="left" w:pos="2235"/>
              </w:tabs>
              <w:kinsoku w:val="0"/>
              <w:autoSpaceDE w:val="0"/>
              <w:autoSpaceDN w:val="0"/>
              <w:rPr>
                <w:rFonts w:hint="eastAsia" w:ascii="宋体" w:hAnsi="宋体"/>
                <w:snapToGrid w:val="0"/>
                <w:kern w:val="0"/>
                <w:sz w:val="24"/>
                <w:szCs w:val="24"/>
              </w:rPr>
            </w:pPr>
          </w:p>
        </w:tc>
        <w:tc>
          <w:tcPr>
            <w:tcW w:w="1330" w:type="dxa"/>
            <w:noWrap w:val="0"/>
            <w:vAlign w:val="center"/>
          </w:tcPr>
          <w:p>
            <w:pPr>
              <w:pStyle w:val="3"/>
              <w:kinsoku w:val="0"/>
              <w:autoSpaceDE w:val="0"/>
              <w:autoSpaceDN w:val="0"/>
              <w:rPr>
                <w:rFonts w:hint="eastAsia" w:ascii="宋体" w:eastAsia="宋体"/>
                <w:b w:val="0"/>
                <w:snapToGrid w:val="0"/>
                <w:kern w:val="0"/>
                <w:sz w:val="24"/>
                <w:szCs w:val="24"/>
              </w:rPr>
            </w:pPr>
            <w:r>
              <w:rPr>
                <w:rFonts w:hint="eastAsia" w:ascii="宋体" w:eastAsia="宋体"/>
                <w:b w:val="0"/>
                <w:snapToGrid w:val="0"/>
                <w:kern w:val="0"/>
                <w:sz w:val="24"/>
                <w:szCs w:val="24"/>
              </w:rPr>
              <w:t xml:space="preserve"> 5KV</w:t>
            </w:r>
          </w:p>
        </w:tc>
        <w:tc>
          <w:tcPr>
            <w:tcW w:w="3326" w:type="dxa"/>
            <w:gridSpan w:val="2"/>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Cx ＜ 150 nF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1197" w:type="dxa"/>
            <w:noWrap w:val="0"/>
            <w:vAlign w:val="center"/>
          </w:tcPr>
          <w:p>
            <w:pPr>
              <w:tabs>
                <w:tab w:val="left" w:pos="2235"/>
              </w:tabs>
              <w:kinsoku w:val="0"/>
              <w:autoSpaceDE w:val="0"/>
              <w:autoSpaceDN w:val="0"/>
              <w:rPr>
                <w:rFonts w:hint="eastAsia" w:ascii="宋体" w:hAnsi="宋体"/>
                <w:snapToGrid w:val="0"/>
                <w:kern w:val="0"/>
                <w:sz w:val="24"/>
                <w:szCs w:val="24"/>
              </w:rPr>
            </w:pPr>
          </w:p>
        </w:tc>
        <w:tc>
          <w:tcPr>
            <w:tcW w:w="1330" w:type="dxa"/>
            <w:noWrap w:val="0"/>
            <w:vAlign w:val="center"/>
          </w:tcPr>
          <w:p>
            <w:pPr>
              <w:pStyle w:val="3"/>
              <w:kinsoku w:val="0"/>
              <w:autoSpaceDE w:val="0"/>
              <w:autoSpaceDN w:val="0"/>
              <w:rPr>
                <w:rFonts w:hint="eastAsia" w:ascii="宋体" w:eastAsia="宋体"/>
                <w:b w:val="0"/>
                <w:snapToGrid w:val="0"/>
                <w:kern w:val="0"/>
                <w:sz w:val="24"/>
                <w:szCs w:val="24"/>
              </w:rPr>
            </w:pPr>
            <w:r>
              <w:rPr>
                <w:rFonts w:hint="eastAsia" w:ascii="宋体" w:eastAsia="宋体"/>
                <w:b w:val="0"/>
                <w:snapToGrid w:val="0"/>
                <w:kern w:val="0"/>
                <w:sz w:val="24"/>
                <w:szCs w:val="24"/>
              </w:rPr>
              <w:t xml:space="preserve"> 1KV</w:t>
            </w:r>
          </w:p>
        </w:tc>
        <w:tc>
          <w:tcPr>
            <w:tcW w:w="3326" w:type="dxa"/>
            <w:gridSpan w:val="2"/>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Cx ＜ 300 nF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vMerge w:val="continue"/>
            <w:noWrap w:val="0"/>
            <w:vAlign w:val="center"/>
          </w:tcPr>
          <w:p>
            <w:pPr>
              <w:tabs>
                <w:tab w:val="left" w:pos="2235"/>
              </w:tabs>
              <w:kinsoku w:val="0"/>
              <w:autoSpaceDE w:val="0"/>
              <w:autoSpaceDN w:val="0"/>
              <w:rPr>
                <w:rFonts w:hint="eastAsia" w:ascii="宋体" w:hAnsi="宋体"/>
                <w:snapToGrid w:val="0"/>
                <w:kern w:val="0"/>
                <w:sz w:val="24"/>
                <w:szCs w:val="24"/>
              </w:rPr>
            </w:pPr>
          </w:p>
        </w:tc>
        <w:tc>
          <w:tcPr>
            <w:tcW w:w="2527" w:type="dxa"/>
            <w:gridSpan w:val="2"/>
            <w:noWrap w:val="0"/>
            <w:vAlign w:val="center"/>
          </w:tcPr>
          <w:p>
            <w:pPr>
              <w:pStyle w:val="3"/>
              <w:kinsoku w:val="0"/>
              <w:autoSpaceDE w:val="0"/>
              <w:autoSpaceDN w:val="0"/>
              <w:ind w:left="-2" w:firstLine="240" w:firstLineChars="100"/>
              <w:rPr>
                <w:rFonts w:hint="eastAsia" w:ascii="宋体" w:eastAsia="宋体"/>
                <w:b w:val="0"/>
                <w:snapToGrid w:val="0"/>
                <w:kern w:val="0"/>
                <w:sz w:val="24"/>
                <w:szCs w:val="24"/>
              </w:rPr>
            </w:pPr>
            <w:r>
              <w:rPr>
                <w:rFonts w:hint="eastAsia" w:ascii="宋体" w:eastAsia="宋体"/>
                <w:b w:val="0"/>
                <w:snapToGrid w:val="0"/>
                <w:kern w:val="0"/>
                <w:sz w:val="24"/>
                <w:szCs w:val="24"/>
              </w:rPr>
              <w:t>CVT测试</w:t>
            </w:r>
          </w:p>
        </w:tc>
        <w:tc>
          <w:tcPr>
            <w:tcW w:w="3326" w:type="dxa"/>
            <w:gridSpan w:val="2"/>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Cx ＜ 300 nF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restart"/>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9</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CVT变比范围</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10∽10000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CVT变比精度</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vMerge w:val="continue"/>
            <w:noWrap w:val="0"/>
            <w:vAlign w:val="center"/>
          </w:tcPr>
          <w:p>
            <w:pPr>
              <w:tabs>
                <w:tab w:val="left" w:pos="2235"/>
              </w:tabs>
              <w:kinsoku w:val="0"/>
              <w:autoSpaceDE w:val="0"/>
              <w:autoSpaceDN w:val="0"/>
              <w:jc w:val="center"/>
              <w:rPr>
                <w:rFonts w:hint="eastAsia" w:ascii="宋体" w:hAnsi="宋体"/>
                <w:snapToGrid w:val="0"/>
                <w:kern w:val="0"/>
                <w:sz w:val="24"/>
                <w:szCs w:val="24"/>
              </w:rPr>
            </w:pP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CVT变比分辨率</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10</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外型尺寸</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430（L）×330（W）×330（H）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11</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存储器大小</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80 组 支持U盘数据存储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268" w:type="dxa"/>
            <w:noWrap w:val="0"/>
            <w:vAlign w:val="center"/>
          </w:tcPr>
          <w:p>
            <w:pPr>
              <w:tabs>
                <w:tab w:val="left" w:pos="2235"/>
              </w:tabs>
              <w:kinsoku w:val="0"/>
              <w:autoSpaceDE w:val="0"/>
              <w:autoSpaceDN w:val="0"/>
              <w:jc w:val="center"/>
              <w:rPr>
                <w:rFonts w:hint="eastAsia" w:ascii="宋体" w:hAnsi="宋体"/>
                <w:snapToGrid w:val="0"/>
                <w:kern w:val="0"/>
                <w:sz w:val="24"/>
                <w:szCs w:val="24"/>
              </w:rPr>
            </w:pPr>
            <w:r>
              <w:rPr>
                <w:rFonts w:hint="eastAsia" w:ascii="宋体" w:hAnsi="宋体"/>
                <w:snapToGrid w:val="0"/>
                <w:kern w:val="0"/>
                <w:sz w:val="24"/>
                <w:szCs w:val="24"/>
              </w:rPr>
              <w:t>12</w:t>
            </w:r>
          </w:p>
        </w:tc>
        <w:tc>
          <w:tcPr>
            <w:tcW w:w="2394" w:type="dxa"/>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重    量</w:t>
            </w:r>
          </w:p>
        </w:tc>
        <w:tc>
          <w:tcPr>
            <w:tcW w:w="5853" w:type="dxa"/>
            <w:gridSpan w:val="4"/>
            <w:noWrap w:val="0"/>
            <w:vAlign w:val="center"/>
          </w:tcPr>
          <w:p>
            <w:pPr>
              <w:tabs>
                <w:tab w:val="left" w:pos="2235"/>
              </w:tabs>
              <w:kinsoku w:val="0"/>
              <w:autoSpaceDE w:val="0"/>
              <w:autoSpaceDN w:val="0"/>
              <w:rPr>
                <w:rFonts w:hint="eastAsia" w:ascii="宋体" w:hAnsi="宋体"/>
                <w:snapToGrid w:val="0"/>
                <w:kern w:val="0"/>
                <w:sz w:val="24"/>
                <w:szCs w:val="24"/>
              </w:rPr>
            </w:pPr>
            <w:r>
              <w:rPr>
                <w:rFonts w:hint="eastAsia" w:ascii="宋体" w:hAnsi="宋体"/>
                <w:snapToGrid w:val="0"/>
                <w:kern w:val="0"/>
                <w:sz w:val="24"/>
                <w:szCs w:val="24"/>
              </w:rPr>
              <w:t>28 Kg</w:t>
            </w:r>
          </w:p>
        </w:tc>
      </w:tr>
    </w:tbl>
    <w:p>
      <w:pPr>
        <w:snapToGrid w:val="0"/>
        <w:spacing w:line="360" w:lineRule="auto"/>
        <w:rPr>
          <w:rFonts w:hint="eastAsia"/>
          <w:b/>
          <w:bCs/>
          <w:kern w:val="44"/>
          <w:sz w:val="28"/>
          <w:szCs w:val="28"/>
          <w:lang w:val="en-US" w:eastAsia="zh-CN"/>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5"/>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23855"/>
      <w:bookmarkStart w:id="1" w:name="_Toc161053131"/>
      <w:bookmarkStart w:id="2" w:name="_Toc288133217"/>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B3A986D"/>
    <w:multiLevelType w:val="singleLevel"/>
    <w:tmpl w:val="0B3A986D"/>
    <w:lvl w:ilvl="0" w:tentative="0">
      <w:start w:val="1"/>
      <w:numFmt w:val="bullet"/>
      <w:pStyle w:val="4"/>
      <w:lvlText w:val=""/>
      <w:lvlJc w:val="left"/>
      <w:pPr>
        <w:tabs>
          <w:tab w:val="left" w:pos="360"/>
        </w:tabs>
        <w:ind w:left="360" w:hanging="360"/>
      </w:pPr>
      <w:rPr>
        <w:rFonts w:hint="default" w:ascii="Wingdings" w:hAnsi="Wingdings"/>
      </w:rPr>
    </w:lvl>
  </w:abstractNum>
  <w:abstractNum w:abstractNumId="2">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3">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4">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5">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6">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1"/>
  </w:num>
  <w:num w:numId="2">
    <w:abstractNumId w:val="0"/>
  </w:num>
  <w:num w:numId="3">
    <w:abstractNumId w:val="7"/>
  </w:num>
  <w:num w:numId="4">
    <w:abstractNumId w:val="2"/>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DE06C7E"/>
    <w:rsid w:val="28FA600D"/>
    <w:rsid w:val="293C05F0"/>
    <w:rsid w:val="2DDC7647"/>
    <w:rsid w:val="3E980D29"/>
    <w:rsid w:val="494440E2"/>
    <w:rsid w:val="58383F39"/>
    <w:rsid w:val="73507CF3"/>
    <w:rsid w:val="750324A4"/>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List Bullet"/>
    <w:basedOn w:val="1"/>
    <w:qFormat/>
    <w:uiPriority w:val="0"/>
    <w:pPr>
      <w:numPr>
        <w:ilvl w:val="0"/>
        <w:numId w:val="1"/>
      </w:numPr>
    </w:pPr>
  </w:style>
  <w:style w:type="paragraph" w:styleId="5">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6">
    <w:name w:val="Body Text Indent"/>
    <w:basedOn w:val="1"/>
    <w:unhideWhenUsed/>
    <w:qFormat/>
    <w:uiPriority w:val="99"/>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291</Words>
  <Characters>360</Characters>
  <Lines>0</Lines>
  <Paragraphs>0</Paragraphs>
  <TotalTime>0</TotalTime>
  <ScaleCrop>false</ScaleCrop>
  <LinksUpToDate>false</LinksUpToDate>
  <CharactersWithSpaces>433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2020-05-06T08:24:05Z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