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color w:val="FF0000"/>
          <w:kern w:val="44"/>
          <w:sz w:val="72"/>
          <w:szCs w:val="72"/>
          <w:lang w:val="en-US" w:eastAsia="zh-CN" w:bidi="ar-SA"/>
        </w:rPr>
      </w:pPr>
      <w:r>
        <w:rPr>
          <w:rFonts w:hint="eastAsia" w:ascii="宋体" w:hAnsi="宋体"/>
          <w:b/>
          <w:bCs/>
          <w:color w:val="FF0000"/>
          <w:kern w:val="44"/>
          <w:sz w:val="72"/>
          <w:szCs w:val="72"/>
          <w:lang w:val="en-US" w:eastAsia="zh-CN" w:bidi="ar-SA"/>
        </w:rPr>
        <w:t>技 术 方 案</w:t>
      </w:r>
    </w:p>
    <w:p>
      <w:pPr>
        <w:jc w:val="both"/>
        <w:rPr>
          <w:rFonts w:hint="eastAsia" w:ascii="宋体" w:hAnsi="宋体"/>
          <w:b/>
          <w:bCs/>
          <w:color w:val="FF0000"/>
          <w:kern w:val="44"/>
          <w:sz w:val="28"/>
          <w:szCs w:val="28"/>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i w:val="0"/>
          <w:color w:val="FF0000"/>
          <w:kern w:val="0"/>
          <w:sz w:val="36"/>
          <w:szCs w:val="36"/>
          <w:u w:val="none"/>
          <w:lang w:val="en-US" w:eastAsia="zh-CN" w:bidi="ar"/>
        </w:rPr>
      </w:pPr>
      <w:r>
        <w:rPr>
          <w:rFonts w:hint="eastAsia" w:ascii="宋体" w:hAnsi="宋体" w:eastAsia="宋体" w:cs="宋体"/>
          <w:b/>
          <w:bCs/>
          <w:i w:val="0"/>
          <w:color w:val="FF0000"/>
          <w:kern w:val="0"/>
          <w:sz w:val="36"/>
          <w:szCs w:val="36"/>
          <w:u w:val="none"/>
          <w:lang w:val="en-US" w:eastAsia="zh-CN" w:bidi="ar"/>
        </w:rPr>
        <w:t>一、高压发生设备</w:t>
      </w:r>
    </w:p>
    <w:p>
      <w:pPr>
        <w:keepNext w:val="0"/>
        <w:keepLines w:val="0"/>
        <w:pageBreakBefore w:val="0"/>
        <w:kinsoku/>
        <w:wordWrap/>
        <w:overflowPunct/>
        <w:topLinePunct w:val="0"/>
        <w:autoSpaceDE/>
        <w:autoSpaceDN/>
        <w:bidi w:val="0"/>
        <w:adjustRightInd/>
        <w:snapToGrid w:val="0"/>
        <w:spacing w:line="360" w:lineRule="auto"/>
        <w:ind w:left="0" w:leftChars="0" w:right="0" w:rightChars="0" w:firstLine="0" w:firstLineChars="0"/>
        <w:jc w:val="center"/>
        <w:textAlignment w:val="auto"/>
        <w:rPr>
          <w:rFonts w:hint="eastAsia" w:ascii="宋体" w:hAnsi="宋体" w:cs="宋体"/>
          <w:b/>
          <w:bCs/>
          <w:i w:val="0"/>
          <w:color w:val="FF0000"/>
          <w:kern w:val="0"/>
          <w:sz w:val="28"/>
          <w:szCs w:val="28"/>
          <w:u w:val="none"/>
          <w:lang w:val="en-US" w:eastAsia="zh-CN" w:bidi="ar"/>
        </w:rPr>
      </w:pPr>
      <w:r>
        <w:rPr>
          <w:rFonts w:hint="eastAsia" w:ascii="宋体" w:hAnsi="宋体" w:eastAsia="宋体" w:cs="宋体"/>
          <w:b/>
          <w:bCs/>
          <w:i w:val="0"/>
          <w:color w:val="FF0000"/>
          <w:kern w:val="0"/>
          <w:sz w:val="28"/>
          <w:szCs w:val="28"/>
          <w:u w:val="none"/>
          <w:lang w:val="en-US" w:eastAsia="zh-CN" w:bidi="ar"/>
        </w:rPr>
        <w:t>工频耐压试验装置AC:</w:t>
      </w:r>
      <w:r>
        <w:rPr>
          <w:rFonts w:hint="eastAsia" w:ascii="宋体" w:hAnsi="宋体" w:cs="宋体"/>
          <w:b/>
          <w:bCs/>
          <w:i w:val="0"/>
          <w:color w:val="FF0000"/>
          <w:kern w:val="0"/>
          <w:sz w:val="28"/>
          <w:szCs w:val="28"/>
          <w:u w:val="none"/>
          <w:lang w:val="en-US" w:eastAsia="zh-CN" w:bidi="ar"/>
        </w:rPr>
        <w:t>30</w:t>
      </w:r>
      <w:r>
        <w:rPr>
          <w:rFonts w:hint="eastAsia" w:ascii="宋体" w:hAnsi="宋体" w:eastAsia="宋体" w:cs="宋体"/>
          <w:b/>
          <w:bCs/>
          <w:i w:val="0"/>
          <w:color w:val="FF0000"/>
          <w:kern w:val="0"/>
          <w:sz w:val="28"/>
          <w:szCs w:val="28"/>
          <w:u w:val="none"/>
          <w:lang w:val="en-US" w:eastAsia="zh-CN" w:bidi="ar"/>
        </w:rPr>
        <w:t>kVA/50kV</w:t>
      </w:r>
    </w:p>
    <w:p>
      <w:pPr>
        <w:keepNext w:val="0"/>
        <w:keepLines w:val="0"/>
        <w:pageBreakBefore w:val="0"/>
        <w:kinsoku/>
        <w:wordWrap/>
        <w:overflowPunct/>
        <w:topLinePunct w:val="0"/>
        <w:autoSpaceDE/>
        <w:autoSpaceDN/>
        <w:bidi w:val="0"/>
        <w:adjustRightInd/>
        <w:snapToGrid w:val="0"/>
        <w:spacing w:line="360" w:lineRule="auto"/>
        <w:ind w:left="0" w:leftChars="0" w:right="0" w:rightChars="0" w:firstLine="0" w:firstLineChars="0"/>
        <w:jc w:val="center"/>
        <w:textAlignment w:val="auto"/>
        <w:rPr>
          <w:rFonts w:hint="eastAsia" w:ascii="宋体" w:hAnsi="宋体" w:eastAsia="宋体" w:cs="宋体"/>
          <w:b/>
          <w:bCs/>
          <w:i w:val="0"/>
          <w:color w:val="FF0000"/>
          <w:kern w:val="0"/>
          <w:sz w:val="28"/>
          <w:szCs w:val="28"/>
          <w:u w:val="none"/>
          <w:lang w:val="en-US" w:eastAsia="zh-CN" w:bidi="ar"/>
        </w:rPr>
      </w:pPr>
      <w:r>
        <w:rPr>
          <w:rFonts w:hint="eastAsia" w:ascii="宋体" w:hAnsi="宋体" w:eastAsia="宋体" w:cs="宋体"/>
          <w:b/>
          <w:bCs/>
          <w:i w:val="0"/>
          <w:color w:val="FF0000"/>
          <w:kern w:val="0"/>
          <w:sz w:val="28"/>
          <w:szCs w:val="28"/>
          <w:u w:val="none"/>
          <w:lang w:val="en-US" w:eastAsia="zh-CN" w:bidi="ar"/>
        </w:rPr>
        <w:t>YD-</w:t>
      </w:r>
      <w:r>
        <w:rPr>
          <w:rFonts w:hint="eastAsia" w:ascii="宋体" w:hAnsi="宋体" w:cs="宋体"/>
          <w:b/>
          <w:bCs/>
          <w:i w:val="0"/>
          <w:color w:val="FF0000"/>
          <w:kern w:val="0"/>
          <w:sz w:val="28"/>
          <w:szCs w:val="28"/>
          <w:u w:val="none"/>
          <w:lang w:val="en-US" w:eastAsia="zh-CN" w:bidi="ar"/>
        </w:rPr>
        <w:t>30</w:t>
      </w:r>
      <w:r>
        <w:rPr>
          <w:rFonts w:hint="eastAsia" w:ascii="宋体" w:hAnsi="宋体" w:eastAsia="宋体" w:cs="宋体"/>
          <w:b/>
          <w:bCs/>
          <w:i w:val="0"/>
          <w:color w:val="FF0000"/>
          <w:kern w:val="0"/>
          <w:sz w:val="28"/>
          <w:szCs w:val="28"/>
          <w:u w:val="none"/>
          <w:lang w:val="en-US" w:eastAsia="zh-CN" w:bidi="ar"/>
        </w:rPr>
        <w:t>/</w:t>
      </w:r>
      <w:r>
        <w:rPr>
          <w:rFonts w:hint="eastAsia" w:ascii="宋体" w:hAnsi="宋体" w:cs="宋体"/>
          <w:b/>
          <w:bCs/>
          <w:i w:val="0"/>
          <w:color w:val="FF0000"/>
          <w:kern w:val="0"/>
          <w:sz w:val="28"/>
          <w:szCs w:val="28"/>
          <w:u w:val="none"/>
          <w:lang w:val="en-US" w:eastAsia="zh-CN" w:bidi="ar"/>
        </w:rPr>
        <w:t>5</w:t>
      </w:r>
      <w:r>
        <w:rPr>
          <w:rFonts w:hint="eastAsia" w:ascii="宋体" w:hAnsi="宋体" w:eastAsia="宋体" w:cs="宋体"/>
          <w:b/>
          <w:bCs/>
          <w:i w:val="0"/>
          <w:color w:val="FF0000"/>
          <w:kern w:val="0"/>
          <w:sz w:val="28"/>
          <w:szCs w:val="28"/>
          <w:u w:val="none"/>
          <w:lang w:val="en-US" w:eastAsia="zh-CN" w:bidi="ar"/>
        </w:rPr>
        <w:t>0轻型交流高压试验变压器</w:t>
      </w:r>
    </w:p>
    <w:p>
      <w:pPr>
        <w:keepNext w:val="0"/>
        <w:keepLines w:val="0"/>
        <w:pageBreakBefore w:val="0"/>
        <w:widowControl/>
        <w:kinsoku/>
        <w:wordWrap/>
        <w:overflowPunct/>
        <w:topLinePunct w:val="0"/>
        <w:autoSpaceDE/>
        <w:autoSpaceDN/>
        <w:bidi w:val="0"/>
        <w:adjustRightInd/>
        <w:spacing w:line="360" w:lineRule="auto"/>
        <w:textAlignment w:val="auto"/>
        <w:rPr>
          <w:rFonts w:hint="eastAsia" w:ascii="宋体" w:hAnsi="宋体" w:cs="宋体"/>
          <w:b/>
          <w:bCs/>
          <w:sz w:val="24"/>
          <w:szCs w:val="24"/>
        </w:rPr>
      </w:pPr>
      <w:r>
        <w:rPr>
          <w:rFonts w:hint="eastAsia" w:ascii="宋体" w:hAnsi="宋体"/>
          <w:b/>
          <w:sz w:val="28"/>
          <w:szCs w:val="28"/>
        </w:rPr>
        <w:t>1</w:t>
      </w:r>
      <w:r>
        <w:rPr>
          <w:rFonts w:hint="eastAsia" w:ascii="宋体" w:hAnsi="宋体"/>
          <w:sz w:val="24"/>
          <w:szCs w:val="24"/>
        </w:rPr>
        <w:t>、</w:t>
      </w:r>
      <w:r>
        <w:rPr>
          <w:rFonts w:hint="eastAsia" w:ascii="宋体" w:hAnsi="宋体" w:cs="宋体"/>
          <w:b/>
          <w:bCs/>
          <w:sz w:val="28"/>
          <w:szCs w:val="28"/>
        </w:rPr>
        <w:t>产品图片</w:t>
      </w:r>
    </w:p>
    <w:p>
      <w:pPr>
        <w:keepNext w:val="0"/>
        <w:keepLines w:val="0"/>
        <w:pageBreakBefore w:val="0"/>
        <w:widowControl/>
        <w:kinsoku/>
        <w:wordWrap/>
        <w:overflowPunct/>
        <w:topLinePunct w:val="0"/>
        <w:autoSpaceDE/>
        <w:autoSpaceDN/>
        <w:bidi w:val="0"/>
        <w:adjustRightInd/>
        <w:spacing w:line="360" w:lineRule="auto"/>
        <w:textAlignment w:val="auto"/>
        <w:rPr>
          <w:rFonts w:hint="eastAsia" w:ascii="宋体" w:hAnsi="宋体" w:cs="宋体"/>
          <w:b/>
          <w:bCs/>
          <w:sz w:val="24"/>
          <w:szCs w:val="24"/>
        </w:rPr>
      </w:pPr>
    </w:p>
    <w:p>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宋体" w:hAnsi="宋体" w:cs="宋体"/>
          <w:b/>
          <w:bCs/>
          <w:sz w:val="24"/>
          <w:szCs w:val="24"/>
        </w:rPr>
      </w:pPr>
      <w:r>
        <w:drawing>
          <wp:inline distT="0" distB="0" distL="114300" distR="114300">
            <wp:extent cx="3867150" cy="3672840"/>
            <wp:effectExtent l="0" t="0" r="0" b="3810"/>
            <wp:docPr id="6" name="图片 6" descr="C:\Documents and Settings\Administrator\桌面\工频耐压试验装置AC 30kVA 50kV_meitu_2.jpg工频耐压试验装置AC 30kVA 50kV_meitu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Documents and Settings\Administrator\桌面\工频耐压试验装置AC 30kVA 50kV_meitu_2.jpg工频耐压试验装置AC 30kVA 50kV_meitu_2"/>
                    <pic:cNvPicPr>
                      <a:picLocks noChangeAspect="1"/>
                    </pic:cNvPicPr>
                  </pic:nvPicPr>
                  <pic:blipFill>
                    <a:blip r:embed="rId6"/>
                    <a:srcRect/>
                    <a:stretch>
                      <a:fillRect/>
                    </a:stretch>
                  </pic:blipFill>
                  <pic:spPr>
                    <a:xfrm>
                      <a:off x="0" y="0"/>
                      <a:ext cx="3867150" cy="3672840"/>
                    </a:xfrm>
                    <a:prstGeom prst="rect">
                      <a:avLst/>
                    </a:prstGeom>
                    <a:noFill/>
                    <a:ln>
                      <a:noFill/>
                    </a:ln>
                  </pic:spPr>
                </pic:pic>
              </a:graphicData>
            </a:graphic>
          </wp:inline>
        </w:drawing>
      </w:r>
    </w:p>
    <w:p>
      <w:pPr>
        <w:keepNext w:val="0"/>
        <w:keepLines w:val="0"/>
        <w:pageBreakBefore w:val="0"/>
        <w:widowControl/>
        <w:kinsoku/>
        <w:wordWrap/>
        <w:overflowPunct/>
        <w:topLinePunct w:val="0"/>
        <w:autoSpaceDE/>
        <w:autoSpaceDN/>
        <w:bidi w:val="0"/>
        <w:adjustRightInd/>
        <w:spacing w:line="360" w:lineRule="auto"/>
        <w:textAlignment w:val="auto"/>
        <w:rPr>
          <w:rFonts w:hint="eastAsia" w:ascii="宋体" w:hAnsi="宋体" w:cs="宋体"/>
          <w:b/>
          <w:bCs/>
          <w:sz w:val="24"/>
          <w:szCs w:val="24"/>
        </w:rPr>
      </w:pPr>
    </w:p>
    <w:p>
      <w:pPr>
        <w:keepNext w:val="0"/>
        <w:keepLines w:val="0"/>
        <w:pageBreakBefore w:val="0"/>
        <w:kinsoku/>
        <w:wordWrap/>
        <w:overflowPunct/>
        <w:topLinePunct w:val="0"/>
        <w:autoSpaceDE/>
        <w:autoSpaceDN/>
        <w:bidi w:val="0"/>
        <w:adjustRightInd/>
        <w:spacing w:line="360" w:lineRule="auto"/>
        <w:textAlignment w:val="auto"/>
        <w:rPr>
          <w:rFonts w:hint="eastAsia" w:ascii="宋体" w:hAnsi="宋体"/>
          <w:b/>
          <w:sz w:val="28"/>
          <w:szCs w:val="28"/>
        </w:rPr>
      </w:pPr>
      <w:r>
        <w:rPr>
          <w:rFonts w:hint="eastAsia" w:ascii="宋体" w:hAnsi="宋体"/>
          <w:b/>
          <w:sz w:val="28"/>
          <w:szCs w:val="28"/>
        </w:rPr>
        <w:t>2、产品概述</w:t>
      </w:r>
    </w:p>
    <w:p>
      <w:pPr>
        <w:widowControl/>
        <w:spacing w:line="360" w:lineRule="auto"/>
        <w:rPr>
          <w:rFonts w:hint="eastAsia"/>
          <w:sz w:val="24"/>
          <w:szCs w:val="24"/>
          <w:lang w:val="en-US" w:eastAsia="zh-CN"/>
        </w:rPr>
      </w:pPr>
      <w:r>
        <w:rPr>
          <w:rFonts w:hint="eastAsia"/>
          <w:sz w:val="24"/>
          <w:szCs w:val="24"/>
          <w:lang w:val="en-US" w:eastAsia="zh-CN"/>
        </w:rPr>
        <w:t>采用轴对称不等边八角形外壳独特结构方式；可输出双高压。</w:t>
      </w:r>
      <w:r>
        <w:rPr>
          <w:rFonts w:hint="eastAsia"/>
          <w:sz w:val="24"/>
          <w:szCs w:val="24"/>
          <w:lang w:val="en-US" w:eastAsia="zh-CN"/>
        </w:rPr>
        <w:br w:type="textWrapping"/>
      </w:r>
      <w:r>
        <w:rPr>
          <w:rFonts w:hint="eastAsia"/>
          <w:sz w:val="24"/>
          <w:szCs w:val="24"/>
          <w:lang w:val="en-US" w:eastAsia="zh-CN"/>
        </w:rPr>
        <w:t>油箱内油面低于油箱沿，避免了漏油现象。</w:t>
      </w:r>
      <w:r>
        <w:rPr>
          <w:rFonts w:hint="eastAsia"/>
          <w:sz w:val="24"/>
          <w:szCs w:val="24"/>
          <w:lang w:val="en-US" w:eastAsia="zh-CN"/>
        </w:rPr>
        <w:br w:type="textWrapping"/>
      </w:r>
      <w:r>
        <w:rPr>
          <w:rFonts w:hint="eastAsia"/>
          <w:sz w:val="24"/>
          <w:szCs w:val="24"/>
          <w:lang w:val="en-US" w:eastAsia="zh-CN"/>
        </w:rPr>
        <w:t>接线柱在箱盖上，避免了碰撞，提高了机械和电气性能。</w:t>
      </w:r>
      <w:r>
        <w:rPr>
          <w:rFonts w:hint="eastAsia"/>
          <w:sz w:val="24"/>
          <w:szCs w:val="24"/>
          <w:lang w:val="en-US" w:eastAsia="zh-CN"/>
        </w:rPr>
        <w:br w:type="textWrapping"/>
      </w:r>
      <w:r>
        <w:rPr>
          <w:rFonts w:hint="eastAsia"/>
          <w:sz w:val="24"/>
          <w:szCs w:val="24"/>
          <w:lang w:val="en-US" w:eastAsia="zh-CN"/>
        </w:rPr>
        <w:t>产品具有结构紧凑、电气性能稳定，容量足、体积小、重量轻、使用和维护方便等特点。</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sz w:val="24"/>
          <w:szCs w:val="24"/>
        </w:rPr>
      </w:pPr>
    </w:p>
    <w:p>
      <w:pPr>
        <w:keepNext w:val="0"/>
        <w:keepLines w:val="0"/>
        <w:pageBreakBefore w:val="0"/>
        <w:kinsoku/>
        <w:wordWrap/>
        <w:overflowPunct/>
        <w:topLinePunct w:val="0"/>
        <w:autoSpaceDE/>
        <w:autoSpaceDN/>
        <w:bidi w:val="0"/>
        <w:adjustRightInd/>
        <w:spacing w:line="360" w:lineRule="auto"/>
        <w:jc w:val="left"/>
        <w:textAlignment w:val="auto"/>
        <w:rPr>
          <w:rFonts w:hint="eastAsia"/>
          <w:sz w:val="28"/>
          <w:szCs w:val="28"/>
        </w:rPr>
      </w:pPr>
      <w:r>
        <w:rPr>
          <w:rFonts w:hint="eastAsia" w:ascii="宋体" w:hAnsi="宋体"/>
          <w:b/>
          <w:sz w:val="28"/>
          <w:szCs w:val="28"/>
        </w:rPr>
        <w:t>3、技术参数</w:t>
      </w:r>
    </w:p>
    <w:p>
      <w:pPr>
        <w:snapToGrid w:val="0"/>
        <w:spacing w:line="360" w:lineRule="auto"/>
        <w:rPr>
          <w:rFonts w:hint="default"/>
          <w:b/>
          <w:bCs/>
          <w:kern w:val="44"/>
          <w:sz w:val="28"/>
          <w:szCs w:val="28"/>
          <w:lang w:val="en-US" w:eastAsia="zh-CN"/>
        </w:rPr>
      </w:pPr>
      <w:r>
        <w:drawing>
          <wp:inline distT="0" distB="0" distL="114300" distR="114300">
            <wp:extent cx="5876925" cy="3110230"/>
            <wp:effectExtent l="0" t="0" r="9525" b="1397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7"/>
                    <a:stretch>
                      <a:fillRect/>
                    </a:stretch>
                  </pic:blipFill>
                  <pic:spPr>
                    <a:xfrm>
                      <a:off x="0" y="0"/>
                      <a:ext cx="5876925" cy="3110230"/>
                    </a:xfrm>
                    <a:prstGeom prst="rect">
                      <a:avLst/>
                    </a:prstGeom>
                    <a:noFill/>
                    <a:ln>
                      <a:noFill/>
                    </a:ln>
                  </pic:spPr>
                </pic:pic>
              </a:graphicData>
            </a:graphic>
          </wp:inline>
        </w:drawing>
      </w:r>
    </w:p>
    <w:p>
      <w:pPr>
        <w:numPr>
          <w:ilvl w:val="0"/>
          <w:numId w:val="0"/>
        </w:numPr>
        <w:tabs>
          <w:tab w:val="center" w:pos="4536"/>
        </w:tabs>
        <w:spacing w:line="360" w:lineRule="auto"/>
        <w:ind w:firstLine="562" w:firstLineChars="200"/>
        <w:jc w:val="left"/>
        <w:rPr>
          <w:rFonts w:hint="eastAsia" w:ascii="宋体" w:hAnsi="宋体" w:eastAsia="宋体" w:cs="宋体"/>
          <w:b/>
          <w:bCs/>
          <w:i w:val="0"/>
          <w:color w:val="FF0000"/>
          <w:kern w:val="0"/>
          <w:sz w:val="28"/>
          <w:szCs w:val="28"/>
          <w:u w:val="none"/>
          <w:lang w:val="en-US" w:eastAsia="zh-CN" w:bidi="ar"/>
        </w:rPr>
      </w:pPr>
      <w:r>
        <w:rPr>
          <w:rFonts w:hint="eastAsia" w:ascii="宋体" w:hAnsi="宋体" w:eastAsia="宋体" w:cs="宋体"/>
          <w:b/>
          <w:bCs/>
          <w:i w:val="0"/>
          <w:color w:val="FF0000"/>
          <w:kern w:val="0"/>
          <w:sz w:val="28"/>
          <w:szCs w:val="28"/>
          <w:u w:val="none"/>
          <w:lang w:val="en-US" w:eastAsia="zh-CN" w:bidi="ar"/>
        </w:rPr>
        <w:t>TC-</w:t>
      </w:r>
      <w:r>
        <w:rPr>
          <w:rFonts w:hint="eastAsia" w:ascii="宋体" w:hAnsi="宋体" w:cs="宋体"/>
          <w:b/>
          <w:bCs/>
          <w:i w:val="0"/>
          <w:color w:val="FF0000"/>
          <w:kern w:val="0"/>
          <w:sz w:val="28"/>
          <w:szCs w:val="28"/>
          <w:u w:val="none"/>
          <w:lang w:val="en-US" w:eastAsia="zh-CN" w:bidi="ar"/>
        </w:rPr>
        <w:t>3</w:t>
      </w:r>
      <w:r>
        <w:rPr>
          <w:rFonts w:hint="eastAsia" w:ascii="宋体" w:hAnsi="宋体" w:eastAsia="宋体" w:cs="宋体"/>
          <w:b/>
          <w:bCs/>
          <w:i w:val="0"/>
          <w:color w:val="FF0000"/>
          <w:kern w:val="0"/>
          <w:sz w:val="28"/>
          <w:szCs w:val="28"/>
          <w:u w:val="none"/>
          <w:lang w:val="en-US" w:eastAsia="zh-CN" w:bidi="ar"/>
        </w:rPr>
        <w:t>0  试验变压器控制箱</w:t>
      </w:r>
    </w:p>
    <w:p>
      <w:pPr>
        <w:numPr>
          <w:ilvl w:val="0"/>
          <w:numId w:val="0"/>
        </w:numPr>
        <w:spacing w:line="240" w:lineRule="auto"/>
        <w:ind w:leftChars="0"/>
        <w:jc w:val="left"/>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1</w:t>
      </w:r>
      <w:r>
        <w:rPr>
          <w:rFonts w:hint="eastAsia" w:ascii="宋体" w:hAnsi="宋体" w:cs="宋体"/>
          <w:b/>
          <w:sz w:val="28"/>
          <w:szCs w:val="28"/>
          <w:lang w:val="en-US" w:eastAsia="zh-CN"/>
        </w:rPr>
        <w:t>、</w:t>
      </w:r>
      <w:r>
        <w:rPr>
          <w:rFonts w:hint="eastAsia" w:ascii="宋体" w:hAnsi="宋体" w:eastAsia="宋体" w:cs="宋体"/>
          <w:b/>
          <w:sz w:val="28"/>
          <w:szCs w:val="28"/>
          <w:lang w:val="en-US" w:eastAsia="zh-CN"/>
        </w:rPr>
        <w:t>产品图片</w:t>
      </w:r>
    </w:p>
    <w:p>
      <w:pPr>
        <w:pageBreakBefore w:val="0"/>
        <w:overflowPunct/>
        <w:topLinePunct w:val="0"/>
        <w:bidi w:val="0"/>
        <w:snapToGrid w:val="0"/>
        <w:spacing w:line="360" w:lineRule="auto"/>
        <w:jc w:val="center"/>
        <w:textAlignment w:val="auto"/>
        <w:rPr>
          <w:rFonts w:hint="eastAsia"/>
          <w:b/>
          <w:bCs/>
          <w:kern w:val="44"/>
          <w:sz w:val="24"/>
          <w:szCs w:val="24"/>
          <w:lang w:val="en-US" w:eastAsia="zh-CN"/>
        </w:rPr>
      </w:pPr>
      <w:r>
        <w:rPr>
          <w:rFonts w:hint="eastAsia"/>
          <w:b/>
          <w:bCs/>
          <w:kern w:val="44"/>
          <w:sz w:val="24"/>
          <w:szCs w:val="24"/>
          <w:lang w:val="en-US" w:eastAsia="zh-CN"/>
        </w:rPr>
        <w:drawing>
          <wp:inline distT="0" distB="0" distL="114300" distR="114300">
            <wp:extent cx="3710305" cy="3893185"/>
            <wp:effectExtent l="0" t="0" r="4445" b="12065"/>
            <wp:docPr id="51" name="图片 51" descr="C:\Documents and Settings\Administrator\桌面\TC-30.jpgTC-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descr="C:\Documents and Settings\Administrator\桌面\TC-30.jpgTC-30"/>
                    <pic:cNvPicPr>
                      <a:picLocks noChangeAspect="1"/>
                    </pic:cNvPicPr>
                  </pic:nvPicPr>
                  <pic:blipFill>
                    <a:blip r:embed="rId8"/>
                    <a:srcRect/>
                    <a:stretch>
                      <a:fillRect/>
                    </a:stretch>
                  </pic:blipFill>
                  <pic:spPr>
                    <a:xfrm>
                      <a:off x="0" y="0"/>
                      <a:ext cx="3710305" cy="3893185"/>
                    </a:xfrm>
                    <a:prstGeom prst="rect">
                      <a:avLst/>
                    </a:prstGeom>
                    <a:noFill/>
                    <a:ln>
                      <a:noFill/>
                    </a:ln>
                  </pic:spPr>
                </pic:pic>
              </a:graphicData>
            </a:graphic>
          </wp:inline>
        </w:drawing>
      </w:r>
      <w:bookmarkStart w:id="3" w:name="_GoBack"/>
      <w:bookmarkEnd w:id="3"/>
    </w:p>
    <w:p>
      <w:pPr>
        <w:numPr>
          <w:ilvl w:val="0"/>
          <w:numId w:val="0"/>
        </w:numPr>
        <w:spacing w:line="240" w:lineRule="auto"/>
        <w:ind w:leftChars="0"/>
        <w:jc w:val="left"/>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2</w:t>
      </w:r>
      <w:r>
        <w:rPr>
          <w:rFonts w:hint="eastAsia" w:ascii="宋体" w:hAnsi="宋体" w:cs="宋体"/>
          <w:b/>
          <w:sz w:val="28"/>
          <w:szCs w:val="28"/>
          <w:lang w:val="en-US" w:eastAsia="zh-CN"/>
        </w:rPr>
        <w:t>、</w:t>
      </w:r>
      <w:r>
        <w:rPr>
          <w:rFonts w:hint="eastAsia" w:ascii="宋体" w:hAnsi="宋体" w:eastAsia="宋体" w:cs="宋体"/>
          <w:b/>
          <w:sz w:val="28"/>
          <w:szCs w:val="28"/>
          <w:lang w:val="en-US" w:eastAsia="zh-CN"/>
        </w:rPr>
        <w:t>功能特点</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480" w:firstLineChars="200"/>
        <w:jc w:val="both"/>
        <w:textAlignment w:val="auto"/>
        <w:outlineLvl w:val="9"/>
        <w:rPr>
          <w:sz w:val="24"/>
          <w:szCs w:val="24"/>
        </w:rPr>
      </w:pPr>
      <w:r>
        <w:rPr>
          <w:sz w:val="24"/>
          <w:szCs w:val="24"/>
        </w:rPr>
        <w:t>本系列操作箱用于0.5～100KVA试验变压器的调压控制。其工作原理是：通过调整自耦调压器输出电压，实现试验变压器额定压器额定电压范围内的工作电压调节。同时，操作箱（台）内装有高压输出电压表，低压输入电流表及过流保护电路</w:t>
      </w:r>
      <w:r>
        <w:rPr>
          <w:rFonts w:hint="eastAsia"/>
          <w:sz w:val="24"/>
          <w:szCs w:val="24"/>
        </w:rPr>
        <w:t>和电动升降压电路</w:t>
      </w:r>
      <w:r>
        <w:rPr>
          <w:sz w:val="24"/>
          <w:szCs w:val="24"/>
        </w:rPr>
        <w:t>。可经方便地读取试验电压值，并能可靠地保护备。其原理简单、结构紧凑、工作可靠，是进行记压试验理想设备。</w:t>
      </w:r>
    </w:p>
    <w:p>
      <w:pPr>
        <w:numPr>
          <w:ilvl w:val="0"/>
          <w:numId w:val="0"/>
        </w:numPr>
        <w:spacing w:line="240" w:lineRule="auto"/>
        <w:ind w:leftChars="0"/>
        <w:jc w:val="left"/>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3</w:t>
      </w:r>
      <w:r>
        <w:rPr>
          <w:rFonts w:hint="eastAsia" w:ascii="宋体" w:hAnsi="宋体" w:cs="宋体"/>
          <w:b/>
          <w:sz w:val="28"/>
          <w:szCs w:val="28"/>
          <w:lang w:val="en-US" w:eastAsia="zh-CN"/>
        </w:rPr>
        <w:t>、</w:t>
      </w:r>
      <w:r>
        <w:rPr>
          <w:rFonts w:hint="eastAsia" w:ascii="宋体" w:hAnsi="宋体" w:eastAsia="宋体" w:cs="宋体"/>
          <w:b/>
          <w:sz w:val="28"/>
          <w:szCs w:val="28"/>
          <w:lang w:val="en-US" w:eastAsia="zh-CN"/>
        </w:rPr>
        <w:t>技术参数</w:t>
      </w:r>
    </w:p>
    <w:tbl>
      <w:tblPr>
        <w:tblStyle w:val="8"/>
        <w:tblW w:w="8534" w:type="dxa"/>
        <w:tblCellSpacing w:w="7" w:type="dxa"/>
        <w:tblInd w:w="91"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05" w:type="dxa"/>
          <w:left w:w="105" w:type="dxa"/>
          <w:bottom w:w="105" w:type="dxa"/>
          <w:right w:w="105" w:type="dxa"/>
        </w:tblCellMar>
      </w:tblPr>
      <w:tblGrid>
        <w:gridCol w:w="966"/>
        <w:gridCol w:w="1261"/>
        <w:gridCol w:w="1330"/>
        <w:gridCol w:w="750"/>
        <w:gridCol w:w="1619"/>
        <w:gridCol w:w="2608"/>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05" w:type="dxa"/>
            <w:left w:w="105" w:type="dxa"/>
            <w:bottom w:w="105" w:type="dxa"/>
            <w:right w:w="105" w:type="dxa"/>
          </w:tblCellMar>
        </w:tblPrEx>
        <w:trPr>
          <w:cantSplit/>
          <w:trHeight w:val="675" w:hRule="exact"/>
          <w:tblCellSpacing w:w="7" w:type="dxa"/>
        </w:trPr>
        <w:tc>
          <w:tcPr>
            <w:tcW w:w="945" w:type="dxa"/>
            <w:tcBorders>
              <w:top w:val="outset" w:color="000000" w:sz="6" w:space="0"/>
              <w:left w:val="outset" w:color="000000" w:sz="6" w:space="0"/>
              <w:bottom w:val="outset" w:color="000000" w:sz="6" w:space="0"/>
              <w:right w:val="outset" w:color="000000" w:sz="6" w:space="0"/>
            </w:tcBorders>
            <w:noWrap w:val="0"/>
            <w:vAlign w:val="top"/>
          </w:tcPr>
          <w:p>
            <w:pPr>
              <w:pStyle w:val="7"/>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pPr>
            <w:r>
              <w:rPr>
                <w:rFonts w:hint="eastAsia"/>
              </w:rPr>
              <w:t>型号</w:t>
            </w:r>
          </w:p>
        </w:tc>
        <w:tc>
          <w:tcPr>
            <w:tcW w:w="1247" w:type="dxa"/>
            <w:tcBorders>
              <w:top w:val="outset" w:color="000000" w:sz="6" w:space="0"/>
              <w:left w:val="outset" w:color="000000" w:sz="6" w:space="0"/>
              <w:bottom w:val="outset" w:color="000000" w:sz="6" w:space="0"/>
              <w:right w:val="outset" w:color="000000" w:sz="6" w:space="0"/>
            </w:tcBorders>
            <w:noWrap w:val="0"/>
            <w:vAlign w:val="top"/>
          </w:tcPr>
          <w:p>
            <w:pPr>
              <w:pStyle w:val="7"/>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pPr>
            <w:r>
              <w:rPr>
                <w:rFonts w:hint="eastAsia"/>
              </w:rPr>
              <w:t>输入电压（</w:t>
            </w:r>
            <w:r>
              <w:t>V）</w:t>
            </w:r>
          </w:p>
        </w:tc>
        <w:tc>
          <w:tcPr>
            <w:tcW w:w="1316" w:type="dxa"/>
            <w:tcBorders>
              <w:top w:val="outset" w:color="000000" w:sz="6" w:space="0"/>
              <w:left w:val="outset" w:color="000000" w:sz="6" w:space="0"/>
              <w:bottom w:val="outset" w:color="000000" w:sz="6" w:space="0"/>
              <w:right w:val="outset" w:color="000000" w:sz="6" w:space="0"/>
            </w:tcBorders>
            <w:noWrap w:val="0"/>
            <w:vAlign w:val="top"/>
          </w:tcPr>
          <w:p>
            <w:pPr>
              <w:pStyle w:val="7"/>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pPr>
            <w:r>
              <w:rPr>
                <w:rFonts w:hint="eastAsia"/>
              </w:rPr>
              <w:t>适配试变容量</w:t>
            </w:r>
            <w:r>
              <w:t>KVA</w:t>
            </w:r>
          </w:p>
        </w:tc>
        <w:tc>
          <w:tcPr>
            <w:tcW w:w="736" w:type="dxa"/>
            <w:tcBorders>
              <w:top w:val="outset" w:color="000000" w:sz="6" w:space="0"/>
              <w:left w:val="outset" w:color="000000" w:sz="6" w:space="0"/>
              <w:bottom w:val="outset" w:color="000000" w:sz="6" w:space="0"/>
              <w:right w:val="outset" w:color="000000" w:sz="6" w:space="0"/>
            </w:tcBorders>
            <w:noWrap w:val="0"/>
            <w:vAlign w:val="top"/>
          </w:tcPr>
          <w:p>
            <w:pPr>
              <w:pStyle w:val="7"/>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pPr>
            <w:r>
              <w:rPr>
                <w:rFonts w:hint="eastAsia"/>
              </w:rPr>
              <w:t>额定输出</w:t>
            </w:r>
          </w:p>
        </w:tc>
        <w:tc>
          <w:tcPr>
            <w:tcW w:w="1605" w:type="dxa"/>
            <w:tcBorders>
              <w:top w:val="outset" w:color="000000" w:sz="6" w:space="0"/>
              <w:left w:val="outset" w:color="000000" w:sz="6" w:space="0"/>
              <w:bottom w:val="outset" w:color="000000" w:sz="6" w:space="0"/>
              <w:right w:val="outset" w:color="000000" w:sz="6" w:space="0"/>
            </w:tcBorders>
            <w:noWrap w:val="0"/>
            <w:vAlign w:val="top"/>
          </w:tcPr>
          <w:p>
            <w:pPr>
              <w:pStyle w:val="7"/>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pPr>
            <w:r>
              <w:rPr>
                <w:rFonts w:hint="eastAsia"/>
              </w:rPr>
              <w:t>高压电压表</w:t>
            </w:r>
            <w:r>
              <w:t>KV/V</w:t>
            </w:r>
          </w:p>
        </w:tc>
        <w:tc>
          <w:tcPr>
            <w:tcW w:w="2587" w:type="dxa"/>
            <w:tcBorders>
              <w:top w:val="outset" w:color="000000" w:sz="6" w:space="0"/>
              <w:left w:val="outset" w:color="000000" w:sz="6" w:space="0"/>
              <w:bottom w:val="outset" w:color="000000" w:sz="6" w:space="0"/>
              <w:right w:val="outset" w:color="000000" w:sz="6" w:space="0"/>
            </w:tcBorders>
            <w:noWrap w:val="0"/>
            <w:vAlign w:val="top"/>
          </w:tcPr>
          <w:p>
            <w:pPr>
              <w:pStyle w:val="7"/>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pPr>
            <w:r>
              <w:rPr>
                <w:rFonts w:hint="eastAsia"/>
              </w:rPr>
              <w:t>外形尺寸</w:t>
            </w:r>
            <w:r>
              <w:rPr>
                <w:rFonts w:hint="eastAsia"/>
                <w:lang w:eastAsia="zh-CN"/>
              </w:rPr>
              <w:t>：</w:t>
            </w:r>
            <w:r>
              <w:rPr>
                <w:rFonts w:hint="eastAsia"/>
              </w:rPr>
              <w:t>立方米</w:t>
            </w:r>
            <w:r>
              <w:rPr>
                <w:rFonts w:hint="eastAsia"/>
                <w:lang w:val="en-US" w:eastAsia="zh-CN"/>
              </w:rPr>
              <w:t xml:space="preserve">  </w:t>
            </w:r>
            <w:r>
              <w:rPr>
                <w:rFonts w:hint="eastAsia"/>
              </w:rPr>
              <w:t>（长×宽×高）</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05" w:type="dxa"/>
            <w:left w:w="105" w:type="dxa"/>
            <w:bottom w:w="105" w:type="dxa"/>
            <w:right w:w="105" w:type="dxa"/>
          </w:tblCellMar>
        </w:tblPrEx>
        <w:trPr>
          <w:cantSplit/>
          <w:trHeight w:val="693" w:hRule="exact"/>
          <w:tblCellSpacing w:w="7" w:type="dxa"/>
        </w:trPr>
        <w:tc>
          <w:tcPr>
            <w:tcW w:w="945" w:type="dxa"/>
            <w:tcBorders>
              <w:top w:val="outset" w:color="000000" w:sz="6" w:space="0"/>
              <w:left w:val="outset" w:color="000000" w:sz="6" w:space="0"/>
              <w:bottom w:val="outset" w:color="000000" w:sz="6" w:space="0"/>
              <w:right w:val="outset" w:color="000000" w:sz="6" w:space="0"/>
            </w:tcBorders>
            <w:noWrap w:val="0"/>
            <w:vAlign w:val="top"/>
          </w:tcPr>
          <w:p>
            <w:pPr>
              <w:pStyle w:val="7"/>
              <w:pageBreakBefore w:val="0"/>
              <w:overflowPunct/>
              <w:topLinePunct w:val="0"/>
              <w:bidi w:val="0"/>
              <w:spacing w:line="360" w:lineRule="auto"/>
              <w:ind w:left="0" w:leftChars="0" w:firstLine="0" w:firstLineChars="0"/>
              <w:jc w:val="center"/>
              <w:textAlignment w:val="auto"/>
              <w:rPr>
                <w:rFonts w:hint="eastAsia"/>
              </w:rPr>
            </w:pPr>
            <w:r>
              <w:t>TC-30</w:t>
            </w:r>
          </w:p>
        </w:tc>
        <w:tc>
          <w:tcPr>
            <w:tcW w:w="1247" w:type="dxa"/>
            <w:tcBorders>
              <w:top w:val="outset" w:color="000000" w:sz="6" w:space="0"/>
              <w:left w:val="outset" w:color="000000" w:sz="6" w:space="0"/>
              <w:bottom w:val="outset" w:color="000000" w:sz="6" w:space="0"/>
              <w:right w:val="outset" w:color="000000" w:sz="6" w:space="0"/>
            </w:tcBorders>
            <w:noWrap w:val="0"/>
            <w:vAlign w:val="top"/>
          </w:tcPr>
          <w:p>
            <w:pPr>
              <w:pStyle w:val="7"/>
              <w:pageBreakBefore w:val="0"/>
              <w:overflowPunct/>
              <w:topLinePunct w:val="0"/>
              <w:bidi w:val="0"/>
              <w:spacing w:line="360" w:lineRule="auto"/>
              <w:ind w:left="249" w:leftChars="0"/>
              <w:jc w:val="center"/>
              <w:textAlignment w:val="auto"/>
              <w:rPr>
                <w:rFonts w:hint="eastAsia"/>
              </w:rPr>
            </w:pPr>
            <w:r>
              <w:t>380</w:t>
            </w:r>
          </w:p>
        </w:tc>
        <w:tc>
          <w:tcPr>
            <w:tcW w:w="1316" w:type="dxa"/>
            <w:tcBorders>
              <w:top w:val="outset" w:color="000000" w:sz="6" w:space="0"/>
              <w:left w:val="outset" w:color="000000" w:sz="6" w:space="0"/>
              <w:bottom w:val="outset" w:color="000000" w:sz="6" w:space="0"/>
              <w:right w:val="outset" w:color="000000" w:sz="6" w:space="0"/>
            </w:tcBorders>
            <w:noWrap w:val="0"/>
            <w:vAlign w:val="top"/>
          </w:tcPr>
          <w:p>
            <w:pPr>
              <w:pStyle w:val="7"/>
              <w:pageBreakBefore w:val="0"/>
              <w:overflowPunct/>
              <w:topLinePunct w:val="0"/>
              <w:bidi w:val="0"/>
              <w:spacing w:line="360" w:lineRule="auto"/>
              <w:ind w:left="0" w:leftChars="0" w:firstLine="0" w:firstLineChars="0"/>
              <w:jc w:val="center"/>
              <w:textAlignment w:val="auto"/>
              <w:rPr>
                <w:rFonts w:hint="eastAsia"/>
              </w:rPr>
            </w:pPr>
            <w:r>
              <w:t>30</w:t>
            </w:r>
          </w:p>
        </w:tc>
        <w:tc>
          <w:tcPr>
            <w:tcW w:w="736" w:type="dxa"/>
            <w:tcBorders>
              <w:top w:val="outset" w:color="000000" w:sz="6" w:space="0"/>
              <w:left w:val="outset" w:color="000000" w:sz="6" w:space="0"/>
              <w:bottom w:val="outset" w:color="000000" w:sz="6" w:space="0"/>
              <w:right w:val="outset" w:color="000000" w:sz="6" w:space="0"/>
            </w:tcBorders>
            <w:noWrap w:val="0"/>
            <w:vAlign w:val="top"/>
          </w:tcPr>
          <w:p>
            <w:pPr>
              <w:pStyle w:val="7"/>
              <w:pageBreakBefore w:val="0"/>
              <w:overflowPunct/>
              <w:topLinePunct w:val="0"/>
              <w:bidi w:val="0"/>
              <w:spacing w:line="360" w:lineRule="auto"/>
              <w:ind w:left="0" w:leftChars="0" w:firstLine="0" w:firstLineChars="0"/>
              <w:jc w:val="center"/>
              <w:textAlignment w:val="auto"/>
              <w:rPr>
                <w:rFonts w:hint="eastAsia"/>
              </w:rPr>
            </w:pPr>
            <w:r>
              <w:t>400</w:t>
            </w:r>
          </w:p>
        </w:tc>
        <w:tc>
          <w:tcPr>
            <w:tcW w:w="1605" w:type="dxa"/>
            <w:tcBorders>
              <w:top w:val="outset" w:color="000000" w:sz="6" w:space="0"/>
              <w:left w:val="outset" w:color="000000" w:sz="6" w:space="0"/>
              <w:bottom w:val="outset" w:color="000000" w:sz="6" w:space="0"/>
              <w:right w:val="outset" w:color="000000" w:sz="6" w:space="0"/>
            </w:tcBorders>
            <w:noWrap w:val="0"/>
            <w:vAlign w:val="top"/>
          </w:tcPr>
          <w:p>
            <w:pPr>
              <w:pStyle w:val="7"/>
              <w:pageBreakBefore w:val="0"/>
              <w:overflowPunct/>
              <w:topLinePunct w:val="0"/>
              <w:bidi w:val="0"/>
              <w:spacing w:line="360" w:lineRule="auto"/>
              <w:ind w:left="0" w:leftChars="0" w:firstLine="0" w:firstLineChars="0"/>
              <w:jc w:val="center"/>
              <w:textAlignment w:val="auto"/>
            </w:pPr>
            <w:r>
              <w:t>67.5</w:t>
            </w:r>
          </w:p>
        </w:tc>
        <w:tc>
          <w:tcPr>
            <w:tcW w:w="2587" w:type="dxa"/>
            <w:tcBorders>
              <w:top w:val="outset" w:color="000000" w:sz="6" w:space="0"/>
              <w:left w:val="outset" w:color="000000" w:sz="6" w:space="0"/>
              <w:bottom w:val="outset" w:color="000000" w:sz="6" w:space="0"/>
              <w:right w:val="outset" w:color="000000" w:sz="6" w:space="0"/>
            </w:tcBorders>
            <w:noWrap w:val="0"/>
            <w:vAlign w:val="top"/>
          </w:tcPr>
          <w:p>
            <w:pPr>
              <w:pStyle w:val="7"/>
              <w:pageBreakBefore w:val="0"/>
              <w:overflowPunct/>
              <w:topLinePunct w:val="0"/>
              <w:bidi w:val="0"/>
              <w:spacing w:line="360" w:lineRule="auto"/>
              <w:ind w:left="0" w:leftChars="0" w:firstLine="0" w:firstLineChars="0"/>
              <w:jc w:val="center"/>
              <w:textAlignment w:val="auto"/>
              <w:rPr>
                <w:rFonts w:hint="eastAsia"/>
              </w:rPr>
            </w:pPr>
            <w:r>
              <w:t>(50/100/150)/100</w:t>
            </w:r>
          </w:p>
        </w:tc>
      </w:tr>
    </w:tbl>
    <w:p/>
    <w:p>
      <w:pPr>
        <w:pStyle w:val="2"/>
        <w:spacing w:before="240" w:line="360" w:lineRule="auto"/>
        <w:jc w:val="left"/>
        <w:rPr>
          <w:rFonts w:hint="eastAsia" w:ascii="宋体" w:hAnsi="宋体"/>
          <w:color w:val="FF0000"/>
          <w:sz w:val="36"/>
          <w:szCs w:val="36"/>
        </w:rPr>
      </w:pPr>
      <w:r>
        <w:rPr>
          <w:rFonts w:hint="eastAsia" w:ascii="宋体" w:hAnsi="宋体"/>
          <w:color w:val="FF0000"/>
          <w:sz w:val="36"/>
          <w:szCs w:val="36"/>
          <w:lang w:val="en-US" w:eastAsia="zh-CN"/>
        </w:rPr>
        <w:t>二、</w:t>
      </w:r>
      <w:r>
        <w:rPr>
          <w:rFonts w:hint="eastAsia" w:ascii="宋体" w:hAnsi="宋体"/>
          <w:color w:val="FF0000"/>
          <w:sz w:val="36"/>
          <w:szCs w:val="36"/>
        </w:rPr>
        <w:t>质量保证及试验</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设计是产品质量形成中的关键环节，公司通过设计把来自用户和其它要求转化为设计输入和输出。设计控制就是要从设计策划开始到设计确认的全过程实施控制和验证，通过制定并执行产品设计控制和验证的文件化程序，使设计工作有计划按程序地进行，以确保产品适用性能满足用户和有关要求。</w:t>
      </w:r>
    </w:p>
    <w:p>
      <w:pPr>
        <w:numPr>
          <w:ilvl w:val="0"/>
          <w:numId w:val="2"/>
        </w:numPr>
        <w:tabs>
          <w:tab w:val="left" w:pos="720"/>
        </w:tabs>
        <w:snapToGrid w:val="0"/>
        <w:spacing w:line="360" w:lineRule="auto"/>
        <w:rPr>
          <w:rFonts w:hint="eastAsia" w:ascii="宋体" w:hAnsi="宋体" w:cs="Arial"/>
          <w:sz w:val="24"/>
        </w:rPr>
      </w:pPr>
      <w:r>
        <w:rPr>
          <w:rFonts w:hint="eastAsia" w:ascii="宋体" w:hAnsi="宋体" w:cs="Arial"/>
          <w:sz w:val="24"/>
        </w:rPr>
        <w:t>设计和开发的策划</w:t>
      </w:r>
    </w:p>
    <w:p>
      <w:pPr>
        <w:tabs>
          <w:tab w:val="left" w:pos="0"/>
        </w:tabs>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在设计和开发策划中，我们总是根据用户的需要，市场的状况，大量地走访电力系统单位，如中调所、中试所及各配电站等单位，了解他们的要求，吸收他们的意见，然后才开始设计和开发的策划。针对具体的设计项目策划设计活动，根据其实际需要和公司设计部门情况，划分设计项目的全过程，规定组织和技术接口，配备有资格的人员（包括设计任务人员，设计评审人员、设计验证及设计确认人员）。</w:t>
      </w:r>
    </w:p>
    <w:p>
      <w:pPr>
        <w:numPr>
          <w:ilvl w:val="0"/>
          <w:numId w:val="3"/>
        </w:numPr>
        <w:snapToGrid w:val="0"/>
        <w:spacing w:line="360" w:lineRule="auto"/>
        <w:rPr>
          <w:rFonts w:hint="eastAsia" w:ascii="宋体" w:hAnsi="宋体" w:cs="Arial"/>
          <w:sz w:val="24"/>
        </w:rPr>
      </w:pPr>
      <w:r>
        <w:rPr>
          <w:rFonts w:hint="eastAsia" w:ascii="宋体" w:hAnsi="宋体" w:cs="Arial"/>
          <w:sz w:val="24"/>
        </w:rPr>
        <w:t>设计验证</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设计和开发中，验证是对某项规定活动的结果进行检验的过程。我们在新产品设计中，例如电源板，电压、电流功放板等，采取各种计算方法，将新的设计与已证实的类似设计进行比较，进行试验和证实。对复杂的产品设计，必须进行一次或多次不同方法的验证，表明规定要求已经满足认可。</w:t>
      </w:r>
    </w:p>
    <w:p>
      <w:pPr>
        <w:numPr>
          <w:ilvl w:val="0"/>
          <w:numId w:val="4"/>
        </w:numPr>
        <w:snapToGrid w:val="0"/>
        <w:spacing w:line="360" w:lineRule="auto"/>
        <w:rPr>
          <w:rFonts w:hint="eastAsia" w:ascii="宋体" w:hAnsi="宋体" w:cs="Arial"/>
          <w:sz w:val="24"/>
        </w:rPr>
      </w:pPr>
      <w:r>
        <w:rPr>
          <w:rFonts w:hint="eastAsia" w:ascii="宋体" w:hAnsi="宋体" w:cs="Arial"/>
          <w:sz w:val="24"/>
        </w:rPr>
        <w:t>设计确认</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通过检查和提供客观证据表明预期用途的要求已经满足认可，这是设计确认的目的。公司在每一新型号产品设计中，有的按阶段性进行确认通过样品或产品发现问题得以在设计最后确认前，消除不能满足用户需求的问题。通常是在规定的使用条件下，针对最终产品进行确认，当然新产品的鉴定也是一种设计确认的方式，目的都有是为了确保设计质量符合要求。</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在生产全过程中确保每一过程处于受控状态，包括生产工艺参数、人员、设备、材料、加工和测试方法、环境等加以控制。</w:t>
      </w:r>
    </w:p>
    <w:p>
      <w:pPr>
        <w:numPr>
          <w:ilvl w:val="0"/>
          <w:numId w:val="5"/>
        </w:numPr>
        <w:snapToGrid w:val="0"/>
        <w:spacing w:line="360" w:lineRule="auto"/>
        <w:rPr>
          <w:rFonts w:hint="eastAsia" w:ascii="宋体" w:hAnsi="宋体" w:cs="Arial"/>
          <w:sz w:val="24"/>
        </w:rPr>
      </w:pPr>
      <w:r>
        <w:rPr>
          <w:rFonts w:hint="eastAsia" w:ascii="宋体" w:hAnsi="宋体" w:cs="Arial"/>
          <w:sz w:val="24"/>
        </w:rPr>
        <w:t>生产过程控制</w:t>
      </w:r>
    </w:p>
    <w:p>
      <w:pPr>
        <w:tabs>
          <w:tab w:val="left" w:pos="18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每一产品的形成，先后要通过插件工位、结构工位、组装工位、测试工位、调校工位及试验工位，每一工位履行自己的职责，明确本工位的工序与技术要求，对每一工位，公司制定了工序操作说明书，如《整机生产工序及技术要求》，《</w:t>
      </w:r>
      <w:r>
        <w:rPr>
          <w:rFonts w:ascii="宋体" w:hAnsi="宋体" w:cs="Arial"/>
          <w:sz w:val="24"/>
        </w:rPr>
        <w:t>PCB</w:t>
      </w:r>
      <w:r>
        <w:rPr>
          <w:rFonts w:hint="eastAsia" w:ascii="宋体" w:hAnsi="宋体" w:cs="Arial"/>
          <w:sz w:val="24"/>
        </w:rPr>
        <w:t>板插件工序及技术要求》、《生产跟踪表》等，均详细地编写了操作过程和顺序。</w:t>
      </w:r>
    </w:p>
    <w:p>
      <w:pPr>
        <w:numPr>
          <w:ilvl w:val="0"/>
          <w:numId w:val="6"/>
        </w:numPr>
        <w:snapToGrid w:val="0"/>
        <w:spacing w:line="360" w:lineRule="auto"/>
        <w:rPr>
          <w:rFonts w:hint="eastAsia" w:ascii="宋体" w:hAnsi="宋体" w:cs="Arial"/>
          <w:sz w:val="24"/>
        </w:rPr>
      </w:pPr>
      <w:r>
        <w:rPr>
          <w:rFonts w:hint="eastAsia" w:ascii="宋体" w:hAnsi="宋体" w:cs="Arial"/>
          <w:sz w:val="24"/>
        </w:rPr>
        <w:t>产品检验和试验</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检验是对产品的特性进行测量、检查、试验、度量；而试验是对产品一种或多种性能进行功能实验与检查。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公司实行进货检验和试验，包括采购的原材料、元器件，委托加工的</w:t>
      </w:r>
      <w:r>
        <w:rPr>
          <w:rFonts w:ascii="宋体" w:hAnsi="宋体" w:cs="Arial"/>
          <w:sz w:val="24"/>
        </w:rPr>
        <w:t>PCB</w:t>
      </w:r>
      <w:r>
        <w:rPr>
          <w:rFonts w:hint="eastAsia" w:ascii="宋体" w:hAnsi="宋体" w:cs="Arial"/>
          <w:sz w:val="24"/>
        </w:rPr>
        <w:t>板均进行进货检验或试验，保证未经检验或试验的材料，元器件等不投入使用或加工。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过程检验和试验，是在生产的全过程中确定的各控制点，一旦发现问题可以及时纠正，避免造成更多损失，目的是为了保证上道工序流入下道工序的产品都是合格品。公司采用</w:t>
      </w:r>
      <w:r>
        <w:rPr>
          <w:rFonts w:ascii="宋体" w:hAnsi="宋体" w:cs="Arial"/>
          <w:sz w:val="24"/>
        </w:rPr>
        <w:t>PCB</w:t>
      </w:r>
      <w:r>
        <w:rPr>
          <w:rFonts w:hint="eastAsia" w:ascii="宋体" w:hAnsi="宋体" w:cs="Arial"/>
          <w:sz w:val="24"/>
        </w:rPr>
        <w:t>半成品板检验，</w:t>
      </w:r>
      <w:r>
        <w:rPr>
          <w:rFonts w:ascii="宋体" w:hAnsi="宋体" w:cs="Arial"/>
          <w:sz w:val="24"/>
        </w:rPr>
        <w:t>CPU</w:t>
      </w:r>
      <w:r>
        <w:rPr>
          <w:rFonts w:hint="eastAsia" w:ascii="宋体" w:hAnsi="宋体" w:cs="Arial"/>
          <w:sz w:val="24"/>
        </w:rPr>
        <w:t>板通电测试检验，整机组装后通电检验，整机测试检验，老化后整机调校检验。</w:t>
      </w:r>
    </w:p>
    <w:p>
      <w:pPr>
        <w:pStyle w:val="4"/>
        <w:spacing w:line="360" w:lineRule="auto"/>
        <w:rPr>
          <w:rFonts w:hint="eastAsia" w:cs="Arial"/>
        </w:rPr>
      </w:pPr>
      <w:r>
        <w:rPr>
          <w:rFonts w:cs="Arial"/>
        </w:rPr>
        <w:t xml:space="preserve">    </w:t>
      </w:r>
      <w:r>
        <w:rPr>
          <w:rFonts w:hint="eastAsia" w:cs="Arial"/>
        </w:rPr>
        <w:t>最终检验和试验是全面考核产品质量是否符合规范和技术文件的要求。公司采取第二老化后的整机检验，第三次老化后的整机联机试验。只要前面的检验和试验没有通过，绝不转入后面的检验和试验，以此层层把关，保证产品的质量满足技术要求。</w:t>
      </w:r>
    </w:p>
    <w:p>
      <w:pPr>
        <w:numPr>
          <w:ilvl w:val="0"/>
          <w:numId w:val="7"/>
        </w:numPr>
        <w:snapToGrid w:val="0"/>
        <w:spacing w:line="360" w:lineRule="auto"/>
        <w:rPr>
          <w:rFonts w:hint="eastAsia" w:ascii="宋体" w:hAnsi="宋体" w:cs="Arial"/>
          <w:sz w:val="24"/>
        </w:rPr>
      </w:pPr>
      <w:r>
        <w:rPr>
          <w:rFonts w:hint="eastAsia" w:ascii="宋体" w:hAnsi="宋体" w:cs="Arial"/>
          <w:sz w:val="24"/>
        </w:rPr>
        <w:t>不合格品的控制</w:t>
      </w:r>
    </w:p>
    <w:p>
      <w:pPr>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为了防止不合格品的错误使用或安装，对不合格品采取标识、记录、评价、隔离和处置。公司分别实行对采购进货检验不合格品的控制，</w:t>
      </w:r>
      <w:r>
        <w:rPr>
          <w:rFonts w:ascii="宋体" w:hAnsi="宋体" w:cs="Arial"/>
          <w:sz w:val="24"/>
        </w:rPr>
        <w:t>PCB</w:t>
      </w:r>
      <w:r>
        <w:rPr>
          <w:rFonts w:hint="eastAsia" w:ascii="宋体" w:hAnsi="宋体" w:cs="Arial"/>
          <w:sz w:val="24"/>
        </w:rPr>
        <w:t>板检验不合品的控制，</w:t>
      </w:r>
      <w:r>
        <w:rPr>
          <w:rFonts w:ascii="宋体" w:hAnsi="宋体" w:cs="Arial"/>
          <w:sz w:val="24"/>
        </w:rPr>
        <w:t>PCB</w:t>
      </w:r>
      <w:r>
        <w:rPr>
          <w:rFonts w:hint="eastAsia" w:ascii="宋体" w:hAnsi="宋体" w:cs="Arial"/>
          <w:sz w:val="24"/>
        </w:rPr>
        <w:t>半成品板检验不合格品的控制，整机组装检验不合格的控制，整机测试不合格品的控制，整机检验不合格品的控制，联机试验不合格品的控制，用户返回不合格品的控制及废品的控制。确保合格品转入下一道工位。</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质量记录是为证明满足质量要求的程度，用以证明产品是否符合要求。公司对质量记录采取了管理控制，各种质量记录以书面形式保存三年，以满足用户验证需要。</w:t>
      </w:r>
    </w:p>
    <w:p>
      <w:pPr>
        <w:snapToGrid w:val="0"/>
        <w:spacing w:line="360" w:lineRule="auto"/>
        <w:ind w:firstLine="570"/>
        <w:rPr>
          <w:rFonts w:hint="eastAsia" w:ascii="宋体" w:hAnsi="宋体" w:cs="Arial"/>
          <w:sz w:val="24"/>
        </w:rPr>
      </w:pPr>
      <w:r>
        <w:rPr>
          <w:rFonts w:hint="eastAsia" w:ascii="宋体" w:hAnsi="宋体" w:cs="Arial"/>
          <w:sz w:val="24"/>
        </w:rPr>
        <w:t>公司每隔半年，根据社会环境、市场要求、用户意见，对已投放市场的产品进行质量评审。为了防止潜在的不合格、缺陷或其它不希望情况的发生，进行调查分析，有效地处理用户的意见和产品不合格报告。对于用户所提出的期望和要求，公司会组织人力，改进产品设计，提高产品质量，很快设计出质量更高的新一代产品，以满足用户的要求。</w:t>
      </w:r>
    </w:p>
    <w:p>
      <w:pPr>
        <w:pStyle w:val="2"/>
        <w:spacing w:before="240" w:line="360" w:lineRule="auto"/>
        <w:rPr>
          <w:rFonts w:hint="eastAsia" w:ascii="宋体" w:hAnsi="宋体" w:eastAsia="宋体" w:cs="宋体"/>
          <w:sz w:val="24"/>
        </w:rPr>
      </w:pPr>
      <w:bookmarkStart w:id="0" w:name="_Toc288133217"/>
      <w:bookmarkStart w:id="1" w:name="_Toc161053131"/>
      <w:bookmarkStart w:id="2" w:name="_Toc288123855"/>
      <w:r>
        <w:rPr>
          <w:rFonts w:hint="eastAsia" w:ascii="宋体" w:hAnsi="宋体" w:eastAsia="宋体" w:cs="宋体"/>
          <w:bCs/>
          <w:color w:val="FF0000"/>
          <w:kern w:val="2"/>
          <w:sz w:val="32"/>
          <w:szCs w:val="32"/>
          <w:lang w:val="en-US" w:eastAsia="zh-CN"/>
        </w:rPr>
        <w:t>三、技术文件</w:t>
      </w:r>
      <w:bookmarkEnd w:id="0"/>
      <w:bookmarkEnd w:id="1"/>
      <w:bookmarkEnd w:id="2"/>
    </w:p>
    <w:tbl>
      <w:tblPr>
        <w:tblStyle w:val="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Layout w:type="fixed"/>
        <w:tblCellMar>
          <w:top w:w="0" w:type="dxa"/>
          <w:left w:w="108" w:type="dxa"/>
          <w:bottom w:w="0" w:type="dxa"/>
          <w:right w:w="108" w:type="dxa"/>
        </w:tblCellMar>
      </w:tblPr>
      <w:tblGrid>
        <w:gridCol w:w="580"/>
        <w:gridCol w:w="5083"/>
        <w:gridCol w:w="731"/>
        <w:gridCol w:w="1159"/>
        <w:gridCol w:w="1193"/>
      </w:tblGrid>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36" w:hRule="atLeast"/>
          <w:tblHeader/>
          <w:jc w:val="center"/>
        </w:trPr>
        <w:tc>
          <w:tcPr>
            <w:tcW w:w="580"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序号</w:t>
            </w:r>
          </w:p>
        </w:tc>
        <w:tc>
          <w:tcPr>
            <w:tcW w:w="508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内        容</w:t>
            </w:r>
          </w:p>
        </w:tc>
        <w:tc>
          <w:tcPr>
            <w:tcW w:w="731"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份数</w:t>
            </w:r>
          </w:p>
        </w:tc>
        <w:tc>
          <w:tcPr>
            <w:tcW w:w="1159"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交付时间</w:t>
            </w:r>
          </w:p>
        </w:tc>
        <w:tc>
          <w:tcPr>
            <w:tcW w:w="119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收图单位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508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图纸类</w:t>
            </w:r>
          </w:p>
        </w:tc>
        <w:tc>
          <w:tcPr>
            <w:tcW w:w="731"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1.1</w:t>
            </w:r>
          </w:p>
        </w:tc>
        <w:tc>
          <w:tcPr>
            <w:tcW w:w="5083" w:type="dxa"/>
            <w:tcBorders>
              <w:top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电气原理图</w:t>
            </w:r>
          </w:p>
        </w:tc>
        <w:tc>
          <w:tcPr>
            <w:tcW w:w="731"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59"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使用说明书</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lang w:eastAsia="zh-CN"/>
              </w:rPr>
            </w:pPr>
            <w:r>
              <w:rPr>
                <w:rFonts w:hint="eastAsia" w:ascii="宋体" w:hAnsi="宋体" w:eastAsia="宋体" w:cs="宋体"/>
                <w:bCs/>
                <w:color w:val="000000"/>
                <w:sz w:val="24"/>
                <w:lang w:val="en-US" w:eastAsia="zh-CN"/>
              </w:rPr>
              <w:t>2</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2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b w:val="0"/>
                <w:bCs/>
                <w:color w:val="000000"/>
                <w:sz w:val="24"/>
              </w:rPr>
              <w:t>测试仪</w:t>
            </w:r>
            <w:r>
              <w:rPr>
                <w:rFonts w:hint="eastAsia" w:ascii="宋体" w:hAnsi="宋体" w:eastAsia="宋体" w:cs="宋体"/>
                <w:color w:val="000000"/>
                <w:sz w:val="24"/>
              </w:rPr>
              <w:t>完整说明和技术数据资料。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74"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测试仪和所有附件的全部部件序号的完整资料及说明</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6"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测试仪的结构图外型尺寸及对基础的技术要求</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rPr>
            </w:pPr>
            <w:r>
              <w:rPr>
                <w:rFonts w:hint="eastAsia" w:ascii="宋体" w:hAnsi="宋体" w:eastAsia="宋体" w:cs="宋体"/>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出厂试验报告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其他资料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测试仪及主要附件标准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4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现场测试规定和标准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测试仪运输、包装贮存规定</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4</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产品保修卡</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5</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产品合格证</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6</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质量反馈单</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bl>
    <w:p>
      <w:pPr>
        <w:spacing w:line="360" w:lineRule="auto"/>
        <w:rPr>
          <w:rFonts w:hint="eastAsia" w:ascii="宋体" w:hAnsi="宋体" w:eastAsia="宋体" w:cs="宋体"/>
        </w:rPr>
      </w:pPr>
    </w:p>
    <w:p>
      <w:pPr>
        <w:spacing w:line="360" w:lineRule="auto"/>
        <w:ind w:firstLine="560" w:firstLineChars="200"/>
        <w:rPr>
          <w:rFonts w:hint="eastAsia" w:ascii="宋体" w:hAnsi="宋体" w:eastAsia="宋体" w:cs="宋体"/>
          <w:sz w:val="28"/>
          <w:szCs w:val="28"/>
        </w:rPr>
      </w:pPr>
    </w:p>
    <w:p>
      <w:pPr>
        <w:tabs>
          <w:tab w:val="left" w:pos="3072"/>
        </w:tabs>
        <w:spacing w:line="360" w:lineRule="auto"/>
        <w:rPr>
          <w:rFonts w:hint="eastAsia" w:ascii="宋体" w:hAnsi="宋体"/>
          <w:lang w:eastAsia="zh-CN"/>
        </w:rPr>
      </w:pP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altName w:val="UniversalMath1 BT"/>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altName w:val="UniversalMath1 BT"/>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UniversalMath1 BT">
    <w:panose1 w:val="05050102010205020602"/>
    <w:charset w:val="00"/>
    <w:family w:val="auto"/>
    <w:pitch w:val="default"/>
    <w:sig w:usb0="00000000" w:usb1="00000000" w:usb2="00000000" w:usb3="00000000" w:csb0="00000000" w:csb1="00000000"/>
  </w:font>
  <w:font w:name="UniversalMath1 BT">
    <w:panose1 w:val="05050102010205020602"/>
    <w:charset w:val="02"/>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0" w:leftChars="0" w:right="0" w:rightChars="0" w:firstLine="0" w:firstLineChars="0"/>
      <w:jc w:val="distribute"/>
    </w:pPr>
    <w:r>
      <w:rPr>
        <w:rFonts w:ascii="宋体" w:hAnsi="宋体" w:eastAsia="宋体" w:cs="宋体"/>
        <w:sz w:val="24"/>
        <w:szCs w:val="24"/>
      </w:rPr>
      <w:drawing>
        <wp:inline distT="0" distB="0" distL="114300" distR="114300">
          <wp:extent cx="2673350" cy="381000"/>
          <wp:effectExtent l="0" t="0" r="635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
                  <a:stretch>
                    <a:fillRect/>
                  </a:stretch>
                </pic:blipFill>
                <pic:spPr>
                  <a:xfrm>
                    <a:off x="0" y="0"/>
                    <a:ext cx="2673350" cy="381000"/>
                  </a:xfrm>
                  <a:prstGeom prst="rect">
                    <a:avLst/>
                  </a:prstGeom>
                  <a:noFill/>
                  <a:ln w="9525">
                    <a:noFill/>
                  </a:ln>
                </pic:spPr>
              </pic:pic>
            </a:graphicData>
          </a:graphic>
        </wp:inline>
      </w:drawing>
    </w:r>
    <w:r>
      <w:rPr>
        <w:rFonts w:hint="eastAsia"/>
        <w:lang w:val="en-US" w:eastAsia="zh-CN"/>
      </w:rPr>
      <w:t xml:space="preserve">  2018版承试电力设施许可证所需施工机具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A986D"/>
    <w:multiLevelType w:val="singleLevel"/>
    <w:tmpl w:val="0B3A986D"/>
    <w:lvl w:ilvl="0" w:tentative="0">
      <w:start w:val="1"/>
      <w:numFmt w:val="bullet"/>
      <w:pStyle w:val="3"/>
      <w:lvlText w:val=""/>
      <w:lvlJc w:val="left"/>
      <w:pPr>
        <w:tabs>
          <w:tab w:val="left" w:pos="360"/>
        </w:tabs>
        <w:ind w:left="360" w:hanging="360"/>
      </w:pPr>
      <w:rPr>
        <w:rFonts w:hint="default" w:ascii="Wingdings" w:hAnsi="Wingdings"/>
      </w:rPr>
    </w:lvl>
  </w:abstractNum>
  <w:abstractNum w:abstractNumId="1">
    <w:nsid w:val="18693004"/>
    <w:multiLevelType w:val="singleLevel"/>
    <w:tmpl w:val="18693004"/>
    <w:lvl w:ilvl="0" w:tentative="0">
      <w:start w:val="1"/>
      <w:numFmt w:val="bullet"/>
      <w:lvlText w:val=""/>
      <w:lvlJc w:val="left"/>
      <w:pPr>
        <w:tabs>
          <w:tab w:val="left" w:pos="425"/>
        </w:tabs>
        <w:ind w:left="425" w:hanging="425"/>
      </w:pPr>
      <w:rPr>
        <w:rFonts w:hint="default" w:ascii="Wingdings" w:hAnsi="Wingdings"/>
      </w:rPr>
    </w:lvl>
  </w:abstractNum>
  <w:abstractNum w:abstractNumId="2">
    <w:nsid w:val="18E07410"/>
    <w:multiLevelType w:val="singleLevel"/>
    <w:tmpl w:val="18E07410"/>
    <w:lvl w:ilvl="0" w:tentative="0">
      <w:start w:val="1"/>
      <w:numFmt w:val="bullet"/>
      <w:lvlText w:val=""/>
      <w:lvlJc w:val="left"/>
      <w:pPr>
        <w:tabs>
          <w:tab w:val="left" w:pos="425"/>
        </w:tabs>
        <w:ind w:left="425" w:hanging="425"/>
      </w:pPr>
      <w:rPr>
        <w:rFonts w:hint="default" w:ascii="Wingdings" w:hAnsi="Wingdings"/>
      </w:rPr>
    </w:lvl>
  </w:abstractNum>
  <w:abstractNum w:abstractNumId="3">
    <w:nsid w:val="44147C22"/>
    <w:multiLevelType w:val="singleLevel"/>
    <w:tmpl w:val="44147C22"/>
    <w:lvl w:ilvl="0" w:tentative="0">
      <w:start w:val="1"/>
      <w:numFmt w:val="bullet"/>
      <w:lvlText w:val=""/>
      <w:lvlJc w:val="left"/>
      <w:pPr>
        <w:tabs>
          <w:tab w:val="left" w:pos="420"/>
        </w:tabs>
        <w:ind w:left="420" w:hanging="420"/>
      </w:pPr>
      <w:rPr>
        <w:rFonts w:hint="default" w:ascii="Wingdings" w:hAnsi="Wingdings"/>
      </w:rPr>
    </w:lvl>
  </w:abstractNum>
  <w:abstractNum w:abstractNumId="4">
    <w:nsid w:val="44966F33"/>
    <w:multiLevelType w:val="singleLevel"/>
    <w:tmpl w:val="44966F33"/>
    <w:lvl w:ilvl="0" w:tentative="0">
      <w:start w:val="1"/>
      <w:numFmt w:val="bullet"/>
      <w:lvlText w:val=""/>
      <w:lvlJc w:val="left"/>
      <w:pPr>
        <w:tabs>
          <w:tab w:val="left" w:pos="425"/>
        </w:tabs>
        <w:ind w:left="425" w:hanging="425"/>
      </w:pPr>
      <w:rPr>
        <w:rFonts w:hint="default" w:ascii="Wingdings" w:hAnsi="Wingdings"/>
      </w:rPr>
    </w:lvl>
  </w:abstractNum>
  <w:abstractNum w:abstractNumId="5">
    <w:nsid w:val="4A893519"/>
    <w:multiLevelType w:val="singleLevel"/>
    <w:tmpl w:val="4A893519"/>
    <w:lvl w:ilvl="0" w:tentative="0">
      <w:start w:val="1"/>
      <w:numFmt w:val="bullet"/>
      <w:lvlText w:val=""/>
      <w:lvlJc w:val="left"/>
      <w:pPr>
        <w:tabs>
          <w:tab w:val="left" w:pos="425"/>
        </w:tabs>
        <w:ind w:left="425" w:hanging="425"/>
      </w:pPr>
      <w:rPr>
        <w:rFonts w:hint="default" w:ascii="Wingdings" w:hAnsi="Wingdings"/>
      </w:rPr>
    </w:lvl>
  </w:abstractNum>
  <w:abstractNum w:abstractNumId="6">
    <w:nsid w:val="5B6D2607"/>
    <w:multiLevelType w:val="singleLevel"/>
    <w:tmpl w:val="5B6D2607"/>
    <w:lvl w:ilvl="0" w:tentative="0">
      <w:start w:val="1"/>
      <w:numFmt w:val="bullet"/>
      <w:lvlText w:val=""/>
      <w:lvlJc w:val="left"/>
      <w:pPr>
        <w:tabs>
          <w:tab w:val="left" w:pos="425"/>
        </w:tabs>
        <w:ind w:left="425" w:hanging="425"/>
      </w:pPr>
      <w:rPr>
        <w:rFonts w:hint="default" w:ascii="Wingdings" w:hAnsi="Wingdings"/>
      </w:rPr>
    </w:lvl>
  </w:abstractNum>
  <w:num w:numId="1">
    <w:abstractNumId w:val="0"/>
  </w:num>
  <w:num w:numId="2">
    <w:abstractNumId w:val="6"/>
  </w:num>
  <w:num w:numId="3">
    <w:abstractNumId w:val="1"/>
  </w:num>
  <w:num w:numId="4">
    <w:abstractNumId w:val="4"/>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3C05F0"/>
    <w:rsid w:val="0A8A2F34"/>
    <w:rsid w:val="0BE017E4"/>
    <w:rsid w:val="0DE06C7E"/>
    <w:rsid w:val="195B4EC0"/>
    <w:rsid w:val="293C05F0"/>
    <w:rsid w:val="3B516B43"/>
    <w:rsid w:val="3E980D29"/>
    <w:rsid w:val="4F6E4222"/>
    <w:rsid w:val="576560C5"/>
    <w:rsid w:val="58383F39"/>
    <w:rsid w:val="6B051EE8"/>
    <w:rsid w:val="76FE6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Times New Roman"/>
      <w:b/>
      <w:bCs/>
      <w:kern w:val="44"/>
      <w:sz w:val="44"/>
      <w:szCs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List Bullet"/>
    <w:basedOn w:val="1"/>
    <w:qFormat/>
    <w:uiPriority w:val="0"/>
    <w:pPr>
      <w:numPr>
        <w:ilvl w:val="0"/>
        <w:numId w:val="1"/>
      </w:numPr>
    </w:pPr>
  </w:style>
  <w:style w:type="paragraph" w:styleId="4">
    <w:name w:val="Body Text"/>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2149</Words>
  <Characters>2225</Characters>
  <Lines>0</Lines>
  <Paragraphs>0</Paragraphs>
  <TotalTime>7</TotalTime>
  <ScaleCrop>false</ScaleCrop>
  <LinksUpToDate>false</LinksUpToDate>
  <CharactersWithSpaces>2288</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2020-04-08T12:25:00Z</dcterms:created>
  <dc:creator>鑫华福</dc:creator>
  <cp:lastModifiedBy>丹妮</cp:lastModifiedBy>
  <dcterms:modified xsi:type="dcterms:W3CDTF">2020-05-07T02:32:12Z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