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right="0" w:rightChars="0" w:firstLine="0" w:firstLineChars="0"/>
        <w:jc w:val="center"/>
      </w:pPr>
    </w:p>
    <w:p>
      <w:pPr>
        <w:jc w:val="center"/>
        <w:rPr>
          <w:rFonts w:hint="eastAsia" w:ascii="宋体" w:hAnsi="宋体"/>
          <w:b/>
          <w:bCs/>
          <w:color w:val="FF0000"/>
          <w:kern w:val="44"/>
          <w:sz w:val="72"/>
          <w:szCs w:val="72"/>
          <w:lang w:val="en-US" w:eastAsia="zh-CN" w:bidi="ar-SA"/>
        </w:rPr>
      </w:pPr>
      <w:r>
        <w:rPr>
          <w:rFonts w:hint="eastAsia" w:ascii="宋体" w:hAnsi="宋体"/>
          <w:b/>
          <w:bCs/>
          <w:color w:val="FF0000"/>
          <w:kern w:val="44"/>
          <w:sz w:val="72"/>
          <w:szCs w:val="72"/>
          <w:lang w:val="en-US" w:eastAsia="zh-CN" w:bidi="ar-SA"/>
        </w:rPr>
        <w:t>技 术 方 案</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i w:val="0"/>
          <w:color w:val="FF0000"/>
          <w:kern w:val="0"/>
          <w:sz w:val="36"/>
          <w:szCs w:val="36"/>
          <w:u w:val="none"/>
          <w:lang w:val="en-US" w:eastAsia="zh-CN" w:bidi="ar"/>
        </w:rPr>
      </w:pPr>
      <w:r>
        <w:rPr>
          <w:rFonts w:hint="eastAsia" w:ascii="宋体" w:hAnsi="宋体" w:cs="宋体"/>
          <w:b/>
          <w:bCs/>
          <w:i w:val="0"/>
          <w:color w:val="FF0000"/>
          <w:kern w:val="0"/>
          <w:sz w:val="36"/>
          <w:szCs w:val="36"/>
          <w:u w:val="none"/>
          <w:lang w:val="en-US" w:eastAsia="zh-CN" w:bidi="ar"/>
        </w:rPr>
        <w:t>四</w:t>
      </w:r>
      <w:r>
        <w:rPr>
          <w:rFonts w:hint="eastAsia" w:ascii="宋体" w:hAnsi="宋体" w:eastAsia="宋体" w:cs="宋体"/>
          <w:b/>
          <w:bCs/>
          <w:i w:val="0"/>
          <w:color w:val="FF0000"/>
          <w:kern w:val="0"/>
          <w:sz w:val="36"/>
          <w:szCs w:val="36"/>
          <w:u w:val="none"/>
          <w:lang w:val="en-US" w:eastAsia="zh-CN" w:bidi="ar"/>
        </w:rPr>
        <w:tab/>
      </w:r>
      <w:r>
        <w:rPr>
          <w:rFonts w:hint="eastAsia" w:ascii="宋体" w:hAnsi="宋体" w:eastAsia="宋体" w:cs="宋体"/>
          <w:b/>
          <w:bCs/>
          <w:i w:val="0"/>
          <w:color w:val="FF0000"/>
          <w:kern w:val="0"/>
          <w:sz w:val="36"/>
          <w:szCs w:val="36"/>
          <w:u w:val="none"/>
          <w:lang w:val="en-US" w:eastAsia="zh-CN" w:bidi="ar"/>
        </w:rPr>
        <w:t>、</w:t>
      </w:r>
      <w:r>
        <w:rPr>
          <w:rFonts w:hint="eastAsia" w:ascii="宋体" w:hAnsi="宋体" w:cs="宋体"/>
          <w:b/>
          <w:bCs/>
          <w:i w:val="0"/>
          <w:color w:val="FF0000"/>
          <w:kern w:val="0"/>
          <w:sz w:val="36"/>
          <w:szCs w:val="36"/>
          <w:u w:val="none"/>
          <w:lang w:val="en-US" w:eastAsia="zh-CN" w:bidi="ar"/>
        </w:rPr>
        <w:t>常用</w:t>
      </w:r>
      <w:r>
        <w:rPr>
          <w:rFonts w:hint="eastAsia" w:ascii="宋体" w:hAnsi="宋体" w:eastAsia="宋体" w:cs="宋体"/>
          <w:b/>
          <w:bCs/>
          <w:i w:val="0"/>
          <w:color w:val="FF0000"/>
          <w:kern w:val="0"/>
          <w:sz w:val="36"/>
          <w:szCs w:val="36"/>
          <w:u w:val="none"/>
          <w:lang w:val="en-US" w:eastAsia="zh-CN" w:bidi="ar"/>
        </w:rPr>
        <w:t>测量仪器</w:t>
      </w:r>
      <w:r>
        <w:rPr>
          <w:rFonts w:hint="eastAsia" w:ascii="宋体" w:hAnsi="宋体" w:cs="宋体"/>
          <w:b/>
          <w:bCs/>
          <w:i w:val="0"/>
          <w:color w:val="FF0000"/>
          <w:kern w:val="0"/>
          <w:sz w:val="36"/>
          <w:szCs w:val="36"/>
          <w:u w:val="none"/>
          <w:lang w:val="en-US" w:eastAsia="zh-CN" w:bidi="ar"/>
        </w:rPr>
        <w:t>仪表</w:t>
      </w:r>
    </w:p>
    <w:p>
      <w:pPr>
        <w:pStyle w:val="3"/>
        <w:keepNext/>
        <w:keepLines/>
        <w:pageBreakBefore w:val="0"/>
        <w:widowControl w:val="0"/>
        <w:numPr>
          <w:ilvl w:val="0"/>
          <w:numId w:val="0"/>
        </w:numPr>
        <w:tabs>
          <w:tab w:val="left" w:pos="0"/>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2"/>
        <w:rPr>
          <w:rFonts w:hint="eastAsia" w:ascii="宋体" w:hAnsi="宋体" w:cs="Times New Roman"/>
          <w:b/>
          <w:bCs/>
          <w:snapToGrid/>
          <w:color w:val="FF0000"/>
          <w:kern w:val="44"/>
          <w:sz w:val="30"/>
          <w:szCs w:val="30"/>
          <w:lang w:val="en-US" w:eastAsia="zh-CN" w:bidi="ar-SA"/>
        </w:rPr>
      </w:pPr>
      <w:r>
        <w:rPr>
          <w:rFonts w:hint="eastAsia" w:ascii="宋体" w:hAnsi="宋体" w:cs="Times New Roman"/>
          <w:b/>
          <w:bCs/>
          <w:snapToGrid/>
          <w:color w:val="FF0000"/>
          <w:kern w:val="44"/>
          <w:sz w:val="30"/>
          <w:szCs w:val="30"/>
          <w:lang w:val="en-US" w:eastAsia="zh-CN" w:bidi="ar-SA"/>
        </w:rPr>
        <w:t>数字式双钳相位伏安表测量电流小于1mA～1A</w:t>
      </w:r>
    </w:p>
    <w:p>
      <w:pPr>
        <w:snapToGrid w:val="0"/>
        <w:spacing w:line="360" w:lineRule="auto"/>
        <w:rPr>
          <w:rFonts w:hint="default" w:ascii="宋体" w:hAnsi="宋体" w:eastAsia="宋体" w:cs="Times New Roman"/>
          <w:b/>
          <w:bCs/>
          <w:snapToGrid/>
          <w:color w:val="FF0000"/>
          <w:kern w:val="44"/>
          <w:sz w:val="30"/>
          <w:szCs w:val="30"/>
          <w:lang w:val="en-US" w:eastAsia="zh-CN" w:bidi="ar-SA"/>
        </w:rPr>
      </w:pPr>
      <w:r>
        <w:rPr>
          <w:rFonts w:hint="eastAsia" w:ascii="宋体" w:hAnsi="宋体" w:eastAsia="宋体" w:cs="Times New Roman"/>
          <w:b/>
          <w:bCs/>
          <w:snapToGrid/>
          <w:color w:val="FF0000"/>
          <w:kern w:val="44"/>
          <w:sz w:val="30"/>
          <w:szCs w:val="30"/>
          <w:lang w:val="en-US" w:eastAsia="zh-CN" w:bidi="ar-SA"/>
        </w:rPr>
        <w:tab/>
      </w:r>
      <w:r>
        <w:rPr>
          <w:rFonts w:hint="eastAsia" w:ascii="宋体" w:hAnsi="宋体" w:cs="Times New Roman"/>
          <w:b/>
          <w:bCs/>
          <w:snapToGrid/>
          <w:color w:val="FF0000"/>
          <w:kern w:val="44"/>
          <w:sz w:val="30"/>
          <w:szCs w:val="30"/>
          <w:lang w:val="en-US" w:eastAsia="zh-CN" w:bidi="ar-SA"/>
        </w:rPr>
        <w:t>ED0604</w:t>
      </w:r>
      <w:r>
        <w:rPr>
          <w:rFonts w:hint="eastAsia" w:ascii="宋体" w:hAnsi="宋体" w:eastAsia="宋体" w:cs="Times New Roman"/>
          <w:b/>
          <w:bCs/>
          <w:snapToGrid/>
          <w:color w:val="FF0000"/>
          <w:kern w:val="44"/>
          <w:sz w:val="30"/>
          <w:szCs w:val="30"/>
          <w:lang w:val="en-US" w:eastAsia="zh-CN" w:bidi="ar-SA"/>
        </w:rPr>
        <w:t>数字式双钳相位伏安表（</w:t>
      </w:r>
      <w:r>
        <w:rPr>
          <w:rFonts w:hint="eastAsia" w:ascii="宋体" w:hAnsi="宋体" w:eastAsia="宋体" w:cs="Times New Roman"/>
          <w:b/>
          <w:bCs/>
          <w:snapToGrid/>
          <w:color w:val="FF0000"/>
          <w:kern w:val="44"/>
          <w:sz w:val="30"/>
          <w:szCs w:val="30"/>
          <w:lang w:val="en-US" w:eastAsia="zh-CN" w:bidi="ar-SA"/>
        </w:rPr>
        <w:tab/>
      </w:r>
      <w:r>
        <w:rPr>
          <w:rFonts w:hint="eastAsia" w:ascii="宋体" w:hAnsi="宋体" w:eastAsia="宋体" w:cs="Times New Roman"/>
          <w:b/>
          <w:bCs/>
          <w:snapToGrid/>
          <w:color w:val="FF0000"/>
          <w:kern w:val="44"/>
          <w:sz w:val="30"/>
          <w:szCs w:val="30"/>
          <w:lang w:val="en-US" w:eastAsia="zh-CN" w:bidi="ar-SA"/>
        </w:rPr>
        <w:t>测量电流小于1mA～</w:t>
      </w:r>
      <w:r>
        <w:rPr>
          <w:rFonts w:hint="eastAsia" w:ascii="宋体" w:hAnsi="宋体" w:cs="Times New Roman"/>
          <w:b/>
          <w:bCs/>
          <w:snapToGrid/>
          <w:color w:val="FF0000"/>
          <w:kern w:val="44"/>
          <w:sz w:val="30"/>
          <w:szCs w:val="30"/>
          <w:lang w:val="en-US" w:eastAsia="zh-CN" w:bidi="ar-SA"/>
        </w:rPr>
        <w:t>1</w:t>
      </w:r>
      <w:bookmarkStart w:id="3" w:name="_GoBack"/>
      <w:bookmarkEnd w:id="3"/>
      <w:r>
        <w:rPr>
          <w:rFonts w:hint="eastAsia" w:ascii="宋体" w:hAnsi="宋体" w:eastAsia="宋体" w:cs="Times New Roman"/>
          <w:b/>
          <w:bCs/>
          <w:snapToGrid/>
          <w:color w:val="FF0000"/>
          <w:kern w:val="44"/>
          <w:sz w:val="30"/>
          <w:szCs w:val="30"/>
          <w:lang w:val="en-US" w:eastAsia="zh-CN" w:bidi="ar-SA"/>
        </w:rPr>
        <w:t>A）</w:t>
      </w:r>
    </w:p>
    <w:p>
      <w:pPr>
        <w:pageBreakBefore w:val="0"/>
        <w:kinsoku/>
        <w:wordWrap/>
        <w:overflowPunct/>
        <w:topLinePunct w:val="0"/>
        <w:bidi w:val="0"/>
        <w:adjustRightInd/>
        <w:spacing w:line="360" w:lineRule="auto"/>
        <w:textAlignment w:val="auto"/>
        <w:rPr>
          <w:rFonts w:hint="eastAsia"/>
          <w:b/>
          <w:bCs/>
          <w:sz w:val="28"/>
          <w:szCs w:val="28"/>
          <w:lang w:val="en-US" w:eastAsia="zh-CN"/>
        </w:rPr>
      </w:pPr>
      <w:r>
        <w:rPr>
          <w:rFonts w:hint="eastAsia"/>
          <w:b/>
          <w:bCs/>
          <w:sz w:val="28"/>
          <w:szCs w:val="28"/>
          <w:lang w:val="en-US" w:eastAsia="zh-CN"/>
        </w:rPr>
        <w:t>1、产品图片</w:t>
      </w:r>
    </w:p>
    <w:p>
      <w:pPr>
        <w:numPr>
          <w:ilvl w:val="0"/>
          <w:numId w:val="0"/>
        </w:numPr>
        <w:spacing w:line="360" w:lineRule="auto"/>
        <w:jc w:val="center"/>
        <w:rPr>
          <w:rFonts w:hint="eastAsia" w:ascii="宋体" w:hAnsi="宋体" w:eastAsia="宋体" w:cs="宋体"/>
          <w:b/>
          <w:bCs/>
          <w:kern w:val="0"/>
          <w:sz w:val="28"/>
          <w:szCs w:val="28"/>
          <w:lang w:val="en-US" w:eastAsia="zh-CN"/>
        </w:rPr>
      </w:pPr>
      <w:r>
        <w:drawing>
          <wp:inline distT="0" distB="0" distL="114300" distR="114300">
            <wp:extent cx="5194300" cy="3898900"/>
            <wp:effectExtent l="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6"/>
                    <a:stretch>
                      <a:fillRect/>
                    </a:stretch>
                  </pic:blipFill>
                  <pic:spPr>
                    <a:xfrm>
                      <a:off x="0" y="0"/>
                      <a:ext cx="5194300" cy="3898900"/>
                    </a:xfrm>
                    <a:prstGeom prst="rect">
                      <a:avLst/>
                    </a:prstGeom>
                    <a:noFill/>
                    <a:ln>
                      <a:noFill/>
                    </a:ln>
                  </pic:spPr>
                </pic:pic>
              </a:graphicData>
            </a:graphic>
          </wp:inline>
        </w:drawing>
      </w:r>
    </w:p>
    <w:p>
      <w:pPr>
        <w:pageBreakBefore w:val="0"/>
        <w:kinsoku/>
        <w:wordWrap/>
        <w:overflowPunct/>
        <w:topLinePunct w:val="0"/>
        <w:bidi w:val="0"/>
        <w:adjustRightInd/>
        <w:spacing w:line="360" w:lineRule="auto"/>
        <w:textAlignment w:val="auto"/>
        <w:rPr>
          <w:rFonts w:hint="eastAsia"/>
          <w:b/>
          <w:bCs/>
          <w:sz w:val="28"/>
          <w:szCs w:val="28"/>
          <w:lang w:val="en-US" w:eastAsia="zh-CN"/>
        </w:rPr>
      </w:pPr>
      <w:r>
        <w:rPr>
          <w:rFonts w:hint="eastAsia"/>
          <w:b/>
          <w:bCs/>
          <w:sz w:val="28"/>
          <w:szCs w:val="28"/>
          <w:lang w:val="en-US" w:eastAsia="zh-CN"/>
        </w:rPr>
        <w:t>2、产品介绍</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该仪表是专为现场测量电压、电流及相位而设计的一种高精度、低价位、手持式、双通道输入测量仪表。用该表可以很方便地在现场测量U-U、I-I及U-I之间的相位，判别感性、容性电路及三相电压的相序，检测变压器的接线组别，测试二次回路和母差保护系统，读出差动保护各组CT之间的相位关系，检查电度表的接线正确与否等。采用钳形电流互感器转换方式输入被测电流，因而测量时无需断开被测线路。测量U1-U2之间相位时，两输入回路完全绝缘隔离，因此完全避免了可能出现的误接线造成的被测线路短路、以致烧毁测量仪表。显示器采用了高反差液晶显示屏，字高达25mm，屏幕角度可自由转换约70°，以获得最佳视觉效果。</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仪表外壳采用工程绝缘材料，另配橡皮防振保护套，安全、可靠。</w:t>
      </w:r>
    </w:p>
    <w:p>
      <w:pPr>
        <w:pageBreakBefore w:val="0"/>
        <w:kinsoku/>
        <w:wordWrap/>
        <w:overflowPunct/>
        <w:topLinePunct w:val="0"/>
        <w:bidi w:val="0"/>
        <w:adjustRightInd/>
        <w:spacing w:line="360" w:lineRule="auto"/>
        <w:textAlignment w:val="auto"/>
        <w:rPr>
          <w:rFonts w:hint="eastAsia"/>
          <w:b/>
          <w:bCs/>
          <w:sz w:val="28"/>
          <w:szCs w:val="28"/>
          <w:lang w:val="en-US" w:eastAsia="zh-CN"/>
        </w:rPr>
      </w:pPr>
      <w:r>
        <w:rPr>
          <w:rFonts w:hint="eastAsia"/>
          <w:b/>
          <w:bCs/>
          <w:sz w:val="28"/>
          <w:szCs w:val="28"/>
          <w:lang w:val="en-US" w:eastAsia="zh-CN"/>
        </w:rPr>
        <w:t>3、技术参数</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显示位数：三位半</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采样速率：3次/秒</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电源：单个 9V 迭层电池、电源电流小于5mA</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外形尺寸：表壳尺寸：192mm×95mm×55mm</w:t>
      </w:r>
    </w:p>
    <w:p>
      <w:pPr>
        <w:pageBreakBefore w:val="0"/>
        <w:kinsoku/>
        <w:wordWrap/>
        <w:overflowPunct/>
        <w:topLinePunct w:val="0"/>
        <w:autoSpaceDE w:val="0"/>
        <w:autoSpaceDN w:val="0"/>
        <w:bidi w:val="0"/>
        <w:adjustRightInd/>
        <w:spacing w:line="360" w:lineRule="auto"/>
        <w:ind w:firstLine="1680" w:firstLineChars="700"/>
        <w:textAlignment w:val="auto"/>
        <w:rPr>
          <w:rFonts w:hint="eastAsia"/>
          <w:sz w:val="24"/>
          <w:szCs w:val="24"/>
          <w:lang w:val="en-US" w:eastAsia="zh-CN"/>
        </w:rPr>
      </w:pPr>
      <w:r>
        <w:rPr>
          <w:rFonts w:hint="eastAsia"/>
          <w:sz w:val="24"/>
          <w:szCs w:val="24"/>
          <w:lang w:val="en-US" w:eastAsia="zh-CN"/>
        </w:rPr>
        <w:t>钳壳尺寸：140mm×42mm×20mm</w:t>
      </w:r>
    </w:p>
    <w:p>
      <w:pPr>
        <w:pageBreakBefore w:val="0"/>
        <w:kinsoku/>
        <w:wordWrap/>
        <w:overflowPunct/>
        <w:topLinePunct w:val="0"/>
        <w:autoSpaceDE w:val="0"/>
        <w:autoSpaceDN w:val="0"/>
        <w:bidi w:val="0"/>
        <w:adjustRightInd/>
        <w:spacing w:line="360" w:lineRule="auto"/>
        <w:ind w:firstLine="1680" w:firstLineChars="700"/>
        <w:textAlignment w:val="auto"/>
        <w:rPr>
          <w:rFonts w:hint="eastAsia"/>
          <w:sz w:val="24"/>
          <w:szCs w:val="24"/>
          <w:lang w:val="en-US" w:eastAsia="zh-CN"/>
        </w:rPr>
      </w:pPr>
      <w:r>
        <w:rPr>
          <w:rFonts w:hint="eastAsia"/>
          <w:sz w:val="24"/>
          <w:szCs w:val="24"/>
          <w:lang w:val="en-US" w:eastAsia="zh-CN"/>
        </w:rPr>
        <w:t>钳口尺寸：Φ7mm×9mm</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重量： 表体：280g</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测量钳：2×200g</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ascii="宋体" w:hAnsi="宋体" w:eastAsia="宋体" w:cs="宋体"/>
          <w:sz w:val="24"/>
          <w:szCs w:val="24"/>
        </w:rPr>
      </w:pPr>
      <w:r>
        <w:rPr>
          <w:rFonts w:hint="eastAsia"/>
          <w:sz w:val="24"/>
          <w:szCs w:val="24"/>
          <w:lang w:val="en-US" w:eastAsia="zh-CN"/>
        </w:rPr>
        <w:t>储存条件：温度：－10℃～50℃</w:t>
      </w:r>
    </w:p>
    <w:p>
      <w:pPr>
        <w:pStyle w:val="2"/>
        <w:spacing w:before="240" w:line="360" w:lineRule="auto"/>
        <w:jc w:val="left"/>
        <w:rPr>
          <w:rFonts w:hint="eastAsia" w:ascii="宋体" w:hAnsi="宋体"/>
          <w:color w:val="FF0000"/>
          <w:sz w:val="36"/>
          <w:szCs w:val="36"/>
        </w:rPr>
      </w:pPr>
      <w:r>
        <w:rPr>
          <w:rFonts w:hint="eastAsia" w:ascii="宋体" w:hAnsi="宋体"/>
          <w:color w:val="FF0000"/>
          <w:sz w:val="36"/>
          <w:szCs w:val="36"/>
          <w:lang w:val="en-US" w:eastAsia="zh-CN"/>
        </w:rPr>
        <w:t>二、</w:t>
      </w:r>
      <w:r>
        <w:rPr>
          <w:rFonts w:hint="eastAsia" w:ascii="宋体" w:hAnsi="宋体"/>
          <w:color w:val="FF0000"/>
          <w:sz w:val="36"/>
          <w:szCs w:val="36"/>
        </w:rPr>
        <w:t>质量保证及试验</w:t>
      </w:r>
    </w:p>
    <w:p>
      <w:pPr>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设计是产品质量形成中的关键环节，公司通过设计把来自用户和其它要求转化为设计输入和输出。设计控制就是要从设计策划开始到设计确认的全过程实施控制和验证，通过制定并执行产品设计控制和验证的文件化程序，使设计工作有计划按程序地进行，以确保产品适用性能满足用户和有关要求。</w:t>
      </w:r>
    </w:p>
    <w:p>
      <w:pPr>
        <w:numPr>
          <w:ilvl w:val="0"/>
          <w:numId w:val="3"/>
        </w:numPr>
        <w:tabs>
          <w:tab w:val="left" w:pos="720"/>
        </w:tabs>
        <w:snapToGrid w:val="0"/>
        <w:spacing w:line="360" w:lineRule="auto"/>
        <w:rPr>
          <w:rFonts w:hint="eastAsia" w:ascii="宋体" w:hAnsi="宋体" w:cs="Arial"/>
          <w:sz w:val="24"/>
        </w:rPr>
      </w:pPr>
      <w:r>
        <w:rPr>
          <w:rFonts w:hint="eastAsia" w:ascii="宋体" w:hAnsi="宋体" w:cs="Arial"/>
          <w:sz w:val="24"/>
        </w:rPr>
        <w:t>设计和开发的策划</w:t>
      </w:r>
    </w:p>
    <w:p>
      <w:pPr>
        <w:tabs>
          <w:tab w:val="left" w:pos="0"/>
        </w:tabs>
        <w:snapToGrid w:val="0"/>
        <w:spacing w:line="360" w:lineRule="auto"/>
        <w:rPr>
          <w:rFonts w:ascii="宋体" w:hAnsi="宋体" w:cs="Arial"/>
          <w:sz w:val="24"/>
        </w:rPr>
      </w:pPr>
      <w:r>
        <w:rPr>
          <w:rFonts w:ascii="宋体" w:hAnsi="宋体" w:cs="Arial"/>
          <w:sz w:val="24"/>
        </w:rPr>
        <w:t xml:space="preserve">    </w:t>
      </w:r>
      <w:r>
        <w:rPr>
          <w:rFonts w:hint="eastAsia" w:ascii="宋体" w:hAnsi="宋体" w:cs="Arial"/>
          <w:sz w:val="24"/>
        </w:rPr>
        <w:t>在设计和开发策划中，我们总是根据用户的需要，市场的状况，大量地走访电力系统单位，如中调所、中试所及各配电站等单位，了解他们的要求，吸收他们的意见，然后才开始设计和开发的策划。针对具体的设计项目策划设计活动，根据其实际需要和公司设计部门情况，划分设计项目的全过程，规定组织和技术接口，配备有资格的人员（包括设计任务人员，设计评审人员、设计验证及设计确认人员）。</w:t>
      </w:r>
    </w:p>
    <w:p>
      <w:pPr>
        <w:numPr>
          <w:ilvl w:val="0"/>
          <w:numId w:val="4"/>
        </w:numPr>
        <w:snapToGrid w:val="0"/>
        <w:spacing w:line="360" w:lineRule="auto"/>
        <w:rPr>
          <w:rFonts w:hint="eastAsia" w:ascii="宋体" w:hAnsi="宋体" w:cs="Arial"/>
          <w:sz w:val="24"/>
        </w:rPr>
      </w:pPr>
      <w:r>
        <w:rPr>
          <w:rFonts w:hint="eastAsia" w:ascii="宋体" w:hAnsi="宋体" w:cs="Arial"/>
          <w:sz w:val="24"/>
        </w:rPr>
        <w:t>设计验证</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在设计和开发中，验证是对某项规定活动的结果进行检验的过程。我们在新产品设计中，例如电源板，电压、电流功放板等，采取各种计算方法，将新的设计与已证实的类似设计进行比较，进行试验和证实。对复杂的产品设计，必须进行一次或多次不同方法的验证，表明规定要求已经满足认可。</w:t>
      </w:r>
    </w:p>
    <w:p>
      <w:pPr>
        <w:numPr>
          <w:ilvl w:val="0"/>
          <w:numId w:val="5"/>
        </w:numPr>
        <w:snapToGrid w:val="0"/>
        <w:spacing w:line="360" w:lineRule="auto"/>
        <w:rPr>
          <w:rFonts w:hint="eastAsia" w:ascii="宋体" w:hAnsi="宋体" w:cs="Arial"/>
          <w:sz w:val="24"/>
        </w:rPr>
      </w:pPr>
      <w:r>
        <w:rPr>
          <w:rFonts w:hint="eastAsia" w:ascii="宋体" w:hAnsi="宋体" w:cs="Arial"/>
          <w:sz w:val="24"/>
        </w:rPr>
        <w:t>设计确认</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通过检查和提供客观证据表明预期用途的要求已经满足认可，这是设计确认的目的。公司在每一新型号产品设计中，有的按阶段性进行确认通过样品或产品发现问题得以在设计最后确认前，消除不能满足用户需求的问题。通常是在规定的使用条件下，针对最终产品进行确认，当然新产品的鉴定也是一种设计确认的方式，目的都有是为了确保设计质量符合要求。</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在生产全过程中确保每一过程处于受控状态，包括生产工艺参数、人员、设备、材料、加工和测试方法、环境等加以控制。</w:t>
      </w:r>
    </w:p>
    <w:p>
      <w:pPr>
        <w:numPr>
          <w:ilvl w:val="0"/>
          <w:numId w:val="6"/>
        </w:numPr>
        <w:snapToGrid w:val="0"/>
        <w:spacing w:line="360" w:lineRule="auto"/>
        <w:rPr>
          <w:rFonts w:hint="eastAsia" w:ascii="宋体" w:hAnsi="宋体" w:cs="Arial"/>
          <w:sz w:val="24"/>
        </w:rPr>
      </w:pPr>
      <w:r>
        <w:rPr>
          <w:rFonts w:hint="eastAsia" w:ascii="宋体" w:hAnsi="宋体" w:cs="Arial"/>
          <w:sz w:val="24"/>
        </w:rPr>
        <w:t>生产过程控制</w:t>
      </w:r>
    </w:p>
    <w:p>
      <w:pPr>
        <w:tabs>
          <w:tab w:val="left" w:pos="18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公司每一产品的形成，先后要通过插件工位、结构工位、组装工位、测试工位、调校工位及试验工位，每一工位履行自己的职责，明确本工位的工序与技术要求，对每一工位，公司制定了工序操作说明书，如《整机生产工序及技术要求》，《</w:t>
      </w:r>
      <w:r>
        <w:rPr>
          <w:rFonts w:ascii="宋体" w:hAnsi="宋体" w:cs="Arial"/>
          <w:sz w:val="24"/>
        </w:rPr>
        <w:t>PCB</w:t>
      </w:r>
      <w:r>
        <w:rPr>
          <w:rFonts w:hint="eastAsia" w:ascii="宋体" w:hAnsi="宋体" w:cs="Arial"/>
          <w:sz w:val="24"/>
        </w:rPr>
        <w:t>板插件工序及技术要求》、《生产跟踪表》等，均详细地编写了操作过程和顺序。</w:t>
      </w:r>
    </w:p>
    <w:p>
      <w:pPr>
        <w:numPr>
          <w:ilvl w:val="0"/>
          <w:numId w:val="7"/>
        </w:numPr>
        <w:snapToGrid w:val="0"/>
        <w:spacing w:line="360" w:lineRule="auto"/>
        <w:rPr>
          <w:rFonts w:hint="eastAsia" w:ascii="宋体" w:hAnsi="宋体" w:cs="Arial"/>
          <w:sz w:val="24"/>
        </w:rPr>
      </w:pPr>
      <w:r>
        <w:rPr>
          <w:rFonts w:hint="eastAsia" w:ascii="宋体" w:hAnsi="宋体" w:cs="Arial"/>
          <w:sz w:val="24"/>
        </w:rPr>
        <w:t>产品检验和试验</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检验是对产品的特性进行测量、检查、试验、度量；而试验是对产品一种或多种性能进行功能实验与检查。</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公司实行进货检验和试验，包括采购的原材料、元器件，委托加工的</w:t>
      </w:r>
      <w:r>
        <w:rPr>
          <w:rFonts w:ascii="宋体" w:hAnsi="宋体" w:cs="Arial"/>
          <w:sz w:val="24"/>
        </w:rPr>
        <w:t>PCB</w:t>
      </w:r>
      <w:r>
        <w:rPr>
          <w:rFonts w:hint="eastAsia" w:ascii="宋体" w:hAnsi="宋体" w:cs="Arial"/>
          <w:sz w:val="24"/>
        </w:rPr>
        <w:t>板均进行进货检验或试验，保证未经检验或试验的材料，元器件等不投入使用或加工。</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过程检验和试验，是在生产的全过程中确定的各控制点，一旦发现问题可以及时纠正，避免造成更多损失，目的是为了保证上道工序流入下道工序的产品都是合格品。公司采用</w:t>
      </w:r>
      <w:r>
        <w:rPr>
          <w:rFonts w:ascii="宋体" w:hAnsi="宋体" w:cs="Arial"/>
          <w:sz w:val="24"/>
        </w:rPr>
        <w:t>PCB</w:t>
      </w:r>
      <w:r>
        <w:rPr>
          <w:rFonts w:hint="eastAsia" w:ascii="宋体" w:hAnsi="宋体" w:cs="Arial"/>
          <w:sz w:val="24"/>
        </w:rPr>
        <w:t>半成品板检验，</w:t>
      </w:r>
      <w:r>
        <w:rPr>
          <w:rFonts w:ascii="宋体" w:hAnsi="宋体" w:cs="Arial"/>
          <w:sz w:val="24"/>
        </w:rPr>
        <w:t>CPU</w:t>
      </w:r>
      <w:r>
        <w:rPr>
          <w:rFonts w:hint="eastAsia" w:ascii="宋体" w:hAnsi="宋体" w:cs="Arial"/>
          <w:sz w:val="24"/>
        </w:rPr>
        <w:t>板通电测试检验，整机组装后通电检验，整机测试检验，老化后整机调校检验。</w:t>
      </w:r>
    </w:p>
    <w:p>
      <w:pPr>
        <w:pStyle w:val="7"/>
        <w:spacing w:line="360" w:lineRule="auto"/>
        <w:rPr>
          <w:rFonts w:hint="eastAsia" w:cs="Arial"/>
        </w:rPr>
      </w:pPr>
      <w:r>
        <w:rPr>
          <w:rFonts w:cs="Arial"/>
        </w:rPr>
        <w:t xml:space="preserve">    </w:t>
      </w:r>
      <w:r>
        <w:rPr>
          <w:rFonts w:hint="eastAsia" w:cs="Arial"/>
        </w:rPr>
        <w:t>最终检验和试验是全面考核产品质量是否符合规范和技术文件的要求。公司采取第二老化后的整机检验，第三次老化后的整机联机试验。只要前面的检验和试验没有通过，绝不转入后面的检验和试验，以此层层把关，保证产品的质量满足技术要求。</w:t>
      </w:r>
    </w:p>
    <w:p>
      <w:pPr>
        <w:numPr>
          <w:ilvl w:val="0"/>
          <w:numId w:val="8"/>
        </w:numPr>
        <w:snapToGrid w:val="0"/>
        <w:spacing w:line="360" w:lineRule="auto"/>
        <w:rPr>
          <w:rFonts w:hint="eastAsia" w:ascii="宋体" w:hAnsi="宋体" w:cs="Arial"/>
          <w:sz w:val="24"/>
        </w:rPr>
      </w:pPr>
      <w:r>
        <w:rPr>
          <w:rFonts w:hint="eastAsia" w:ascii="宋体" w:hAnsi="宋体" w:cs="Arial"/>
          <w:sz w:val="24"/>
        </w:rPr>
        <w:t>不合格品的控制</w:t>
      </w:r>
    </w:p>
    <w:p>
      <w:pPr>
        <w:snapToGrid w:val="0"/>
        <w:spacing w:line="360" w:lineRule="auto"/>
        <w:rPr>
          <w:rFonts w:ascii="宋体" w:hAnsi="宋体" w:cs="Arial"/>
          <w:sz w:val="24"/>
        </w:rPr>
      </w:pPr>
      <w:r>
        <w:rPr>
          <w:rFonts w:ascii="宋体" w:hAnsi="宋体" w:cs="Arial"/>
          <w:sz w:val="24"/>
        </w:rPr>
        <w:t xml:space="preserve">    </w:t>
      </w:r>
      <w:r>
        <w:rPr>
          <w:rFonts w:hint="eastAsia" w:ascii="宋体" w:hAnsi="宋体" w:cs="Arial"/>
          <w:sz w:val="24"/>
        </w:rPr>
        <w:t>为了防止不合格品的错误使用或安装，对不合格品采取标识、记录、评价、隔离和处置。公司分别实行对采购进货检验不合格品的控制，</w:t>
      </w:r>
      <w:r>
        <w:rPr>
          <w:rFonts w:ascii="宋体" w:hAnsi="宋体" w:cs="Arial"/>
          <w:sz w:val="24"/>
        </w:rPr>
        <w:t>PCB</w:t>
      </w:r>
      <w:r>
        <w:rPr>
          <w:rFonts w:hint="eastAsia" w:ascii="宋体" w:hAnsi="宋体" w:cs="Arial"/>
          <w:sz w:val="24"/>
        </w:rPr>
        <w:t>板检验不合品的控制，</w:t>
      </w:r>
      <w:r>
        <w:rPr>
          <w:rFonts w:ascii="宋体" w:hAnsi="宋体" w:cs="Arial"/>
          <w:sz w:val="24"/>
        </w:rPr>
        <w:t>PCB</w:t>
      </w:r>
      <w:r>
        <w:rPr>
          <w:rFonts w:hint="eastAsia" w:ascii="宋体" w:hAnsi="宋体" w:cs="Arial"/>
          <w:sz w:val="24"/>
        </w:rPr>
        <w:t>半成品板检验不合格品的控制，整机组装检验不合格的控制，整机测试不合格品的控制，整机检验不合格品的控制，联机试验不合格品的控制，用户返回不合格品的控制及废品的控制。确保合格品转入下一道工位。</w:t>
      </w:r>
    </w:p>
    <w:p>
      <w:pPr>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质量记录是为证明满足质量要求的程度，用以证明产品是否符合要求。公司对质量记录采取了管理控制，各种质量记录以书面形式保存三年，以满足用户验证需要。</w:t>
      </w:r>
    </w:p>
    <w:p>
      <w:pPr>
        <w:snapToGrid w:val="0"/>
        <w:spacing w:line="360" w:lineRule="auto"/>
        <w:ind w:firstLine="570"/>
        <w:rPr>
          <w:rFonts w:hint="eastAsia" w:ascii="宋体" w:hAnsi="宋体" w:cs="Arial"/>
          <w:sz w:val="24"/>
        </w:rPr>
      </w:pPr>
      <w:r>
        <w:rPr>
          <w:rFonts w:hint="eastAsia" w:ascii="宋体" w:hAnsi="宋体" w:cs="Arial"/>
          <w:sz w:val="24"/>
        </w:rPr>
        <w:t>公司每隔半年，根据社会环境、市场要求、用户意见，对已投放市场的产品进行质量评审。为了防止潜在的不合格、缺陷或其它不希望情况的发生，进行调查分析，有效地处理用户的意见和产品不合格报告。对于用户所提出的期望和要求，公司会组织人力，改进产品设计，提高产品质量，很快设计出质量更高的新一代产品，以满足用户的要求。</w:t>
      </w:r>
    </w:p>
    <w:p>
      <w:pPr>
        <w:tabs>
          <w:tab w:val="left" w:pos="3072"/>
        </w:tabs>
        <w:spacing w:line="360" w:lineRule="auto"/>
        <w:rPr>
          <w:rFonts w:hint="eastAsia" w:ascii="宋体" w:hAnsi="宋体"/>
          <w:lang w:eastAsia="zh-CN"/>
        </w:rPr>
      </w:pPr>
      <w:r>
        <w:rPr>
          <w:rFonts w:hint="eastAsia" w:ascii="宋体" w:hAnsi="宋体"/>
          <w:lang w:eastAsia="zh-CN"/>
        </w:rPr>
        <w:tab/>
      </w:r>
    </w:p>
    <w:p>
      <w:pPr>
        <w:tabs>
          <w:tab w:val="left" w:pos="3072"/>
        </w:tabs>
        <w:spacing w:line="360" w:lineRule="auto"/>
        <w:rPr>
          <w:rFonts w:hint="eastAsia" w:ascii="宋体" w:hAnsi="宋体"/>
          <w:lang w:eastAsia="zh-CN"/>
        </w:rPr>
      </w:pPr>
    </w:p>
    <w:p>
      <w:pPr>
        <w:tabs>
          <w:tab w:val="left" w:pos="3072"/>
        </w:tabs>
        <w:spacing w:line="360" w:lineRule="auto"/>
        <w:rPr>
          <w:rFonts w:hint="eastAsia" w:ascii="宋体" w:hAnsi="宋体"/>
          <w:lang w:eastAsia="zh-CN"/>
        </w:rPr>
      </w:pPr>
    </w:p>
    <w:p>
      <w:pPr>
        <w:pStyle w:val="2"/>
        <w:spacing w:before="240" w:line="360" w:lineRule="auto"/>
        <w:rPr>
          <w:rFonts w:hint="eastAsia" w:ascii="宋体" w:hAnsi="宋体" w:eastAsia="宋体" w:cs="宋体"/>
          <w:sz w:val="24"/>
        </w:rPr>
      </w:pPr>
      <w:bookmarkStart w:id="0" w:name="_Toc288133217"/>
      <w:bookmarkStart w:id="1" w:name="_Toc161053131"/>
      <w:bookmarkStart w:id="2" w:name="_Toc288123855"/>
      <w:r>
        <w:rPr>
          <w:rFonts w:hint="eastAsia" w:ascii="宋体" w:hAnsi="宋体" w:eastAsia="宋体" w:cs="宋体"/>
          <w:bCs/>
          <w:color w:val="FF0000"/>
          <w:kern w:val="2"/>
          <w:sz w:val="32"/>
          <w:szCs w:val="32"/>
          <w:lang w:val="en-US" w:eastAsia="zh-CN"/>
        </w:rPr>
        <w:t>三、技术文件</w:t>
      </w:r>
      <w:bookmarkEnd w:id="0"/>
      <w:bookmarkEnd w:id="1"/>
      <w:bookmarkEnd w:id="2"/>
    </w:p>
    <w:tbl>
      <w:tblPr>
        <w:tblStyle w:val="12"/>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Layout w:type="fixed"/>
        <w:tblCellMar>
          <w:top w:w="0" w:type="dxa"/>
          <w:left w:w="108" w:type="dxa"/>
          <w:bottom w:w="0" w:type="dxa"/>
          <w:right w:w="108" w:type="dxa"/>
        </w:tblCellMar>
      </w:tblPr>
      <w:tblGrid>
        <w:gridCol w:w="580"/>
        <w:gridCol w:w="5083"/>
        <w:gridCol w:w="731"/>
        <w:gridCol w:w="1159"/>
        <w:gridCol w:w="1193"/>
      </w:tblGrid>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536" w:hRule="atLeast"/>
          <w:tblHeader/>
          <w:jc w:val="center"/>
        </w:trPr>
        <w:tc>
          <w:tcPr>
            <w:tcW w:w="580"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序号</w:t>
            </w:r>
          </w:p>
        </w:tc>
        <w:tc>
          <w:tcPr>
            <w:tcW w:w="5083"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内        容</w:t>
            </w:r>
          </w:p>
        </w:tc>
        <w:tc>
          <w:tcPr>
            <w:tcW w:w="731"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份数</w:t>
            </w:r>
          </w:p>
        </w:tc>
        <w:tc>
          <w:tcPr>
            <w:tcW w:w="1159"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交付时间</w:t>
            </w:r>
          </w:p>
        </w:tc>
        <w:tc>
          <w:tcPr>
            <w:tcW w:w="1193"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收图单位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5083"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图纸类</w:t>
            </w:r>
          </w:p>
        </w:tc>
        <w:tc>
          <w:tcPr>
            <w:tcW w:w="731"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59"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1.1</w:t>
            </w:r>
          </w:p>
        </w:tc>
        <w:tc>
          <w:tcPr>
            <w:tcW w:w="5083" w:type="dxa"/>
            <w:tcBorders>
              <w:top w:val="single" w:color="auto" w:sz="4" w:space="0"/>
            </w:tcBorders>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电气原理图</w:t>
            </w:r>
          </w:p>
        </w:tc>
        <w:tc>
          <w:tcPr>
            <w:tcW w:w="731"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59"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使用说明书</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Cs/>
                <w:color w:val="000000"/>
                <w:sz w:val="24"/>
                <w:lang w:eastAsia="zh-CN"/>
              </w:rPr>
            </w:pPr>
            <w:r>
              <w:rPr>
                <w:rFonts w:hint="eastAsia" w:ascii="宋体" w:hAnsi="宋体" w:eastAsia="宋体" w:cs="宋体"/>
                <w:bCs/>
                <w:color w:val="000000"/>
                <w:sz w:val="24"/>
                <w:lang w:val="en-US" w:eastAsia="zh-CN"/>
              </w:rPr>
              <w:t>2</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52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b w:val="0"/>
                <w:bCs/>
                <w:color w:val="000000"/>
                <w:sz w:val="24"/>
              </w:rPr>
              <w:t>测试仪</w:t>
            </w:r>
            <w:r>
              <w:rPr>
                <w:rFonts w:hint="eastAsia" w:ascii="宋体" w:hAnsi="宋体" w:eastAsia="宋体" w:cs="宋体"/>
                <w:color w:val="000000"/>
                <w:sz w:val="24"/>
              </w:rPr>
              <w:t>完整说明和技术数据资料。</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74"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2</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测试仪和所有附件的全部部件序号的完整资料及说明</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6"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3</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测试仪的结构图外型尺寸及对基础的技术要求</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试验报告</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Cs/>
                <w:color w:val="000000"/>
                <w:sz w:val="24"/>
              </w:rPr>
            </w:pPr>
            <w:r>
              <w:rPr>
                <w:rFonts w:hint="eastAsia" w:ascii="宋体" w:hAnsi="宋体" w:eastAsia="宋体" w:cs="宋体"/>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出厂试验报告</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其他资料</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测试仪及主要附件标准</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4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2</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现场测试规定和标准</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3</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测试仪运输、包装贮存规定</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4</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产品保修卡</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5</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产品合格证</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6</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质量反馈单</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bl>
    <w:p>
      <w:pPr>
        <w:spacing w:line="360" w:lineRule="auto"/>
        <w:rPr>
          <w:rFonts w:hint="eastAsia" w:ascii="宋体" w:hAnsi="宋体" w:eastAsia="宋体" w:cs="宋体"/>
        </w:rPr>
      </w:pPr>
    </w:p>
    <w:p>
      <w:pPr>
        <w:spacing w:line="360" w:lineRule="auto"/>
        <w:ind w:firstLine="560" w:firstLineChars="200"/>
        <w:rPr>
          <w:rFonts w:hint="eastAsia" w:ascii="宋体" w:hAnsi="宋体" w:eastAsia="宋体" w:cs="宋体"/>
          <w:sz w:val="28"/>
          <w:szCs w:val="28"/>
        </w:rPr>
      </w:pPr>
    </w:p>
    <w:p>
      <w:pPr>
        <w:tabs>
          <w:tab w:val="left" w:pos="3072"/>
        </w:tabs>
        <w:spacing w:line="360" w:lineRule="auto"/>
        <w:rPr>
          <w:rFonts w:hint="eastAsia" w:ascii="宋体" w:hAnsi="宋体"/>
          <w:lang w:eastAsia="zh-CN"/>
        </w:rPr>
      </w:pPr>
    </w:p>
    <w:p>
      <w:pPr>
        <w:pStyle w:val="4"/>
        <w:rPr>
          <w:rFonts w:hint="eastAsia"/>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altName w:val="UniversalMath1 BT"/>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altName w:val="UniversalMath1 BT"/>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UniversalMath1 BT">
    <w:panose1 w:val="05050102010205020602"/>
    <w:charset w:val="00"/>
    <w:family w:val="auto"/>
    <w:pitch w:val="default"/>
    <w:sig w:usb0="00000000" w:usb1="00000000" w:usb2="00000000" w:usb3="00000000" w:csb0="00000000" w:csb1="00000000"/>
  </w:font>
  <w:font w:name="UniversalMath1 BT">
    <w:panose1 w:val="05050102010205020602"/>
    <w:charset w:val="02"/>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0" w:leftChars="0" w:right="0" w:rightChars="0" w:firstLine="0" w:firstLineChars="0"/>
      <w:jc w:val="distribute"/>
    </w:pPr>
    <w:r>
      <w:rPr>
        <w:rFonts w:ascii="宋体" w:hAnsi="宋体" w:eastAsia="宋体" w:cs="宋体"/>
        <w:sz w:val="24"/>
        <w:szCs w:val="24"/>
      </w:rPr>
      <w:drawing>
        <wp:inline distT="0" distB="0" distL="114300" distR="114300">
          <wp:extent cx="2673350" cy="381000"/>
          <wp:effectExtent l="0" t="0" r="635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1"/>
                  <a:stretch>
                    <a:fillRect/>
                  </a:stretch>
                </pic:blipFill>
                <pic:spPr>
                  <a:xfrm>
                    <a:off x="0" y="0"/>
                    <a:ext cx="2673350" cy="381000"/>
                  </a:xfrm>
                  <a:prstGeom prst="rect">
                    <a:avLst/>
                  </a:prstGeom>
                  <a:noFill/>
                  <a:ln w="9525">
                    <a:noFill/>
                  </a:ln>
                </pic:spPr>
              </pic:pic>
            </a:graphicData>
          </a:graphic>
        </wp:inline>
      </w:drawing>
    </w:r>
    <w:r>
      <w:rPr>
        <w:rFonts w:hint="eastAsia"/>
        <w:lang w:val="en-US" w:eastAsia="zh-CN"/>
      </w:rPr>
      <w:t xml:space="preserve">  2018版承试电力设施许可证所需施工机具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A986D"/>
    <w:multiLevelType w:val="singleLevel"/>
    <w:tmpl w:val="0B3A986D"/>
    <w:lvl w:ilvl="0" w:tentative="0">
      <w:start w:val="1"/>
      <w:numFmt w:val="bullet"/>
      <w:pStyle w:val="6"/>
      <w:lvlText w:val=""/>
      <w:lvlJc w:val="left"/>
      <w:pPr>
        <w:tabs>
          <w:tab w:val="left" w:pos="360"/>
        </w:tabs>
        <w:ind w:left="360" w:hanging="360"/>
      </w:pPr>
      <w:rPr>
        <w:rFonts w:hint="default" w:ascii="Wingdings" w:hAnsi="Wingdings"/>
      </w:rPr>
    </w:lvl>
  </w:abstractNum>
  <w:abstractNum w:abstractNumId="1">
    <w:nsid w:val="18693004"/>
    <w:multiLevelType w:val="singleLevel"/>
    <w:tmpl w:val="18693004"/>
    <w:lvl w:ilvl="0" w:tentative="0">
      <w:start w:val="1"/>
      <w:numFmt w:val="bullet"/>
      <w:lvlText w:val=""/>
      <w:lvlJc w:val="left"/>
      <w:pPr>
        <w:tabs>
          <w:tab w:val="left" w:pos="425"/>
        </w:tabs>
        <w:ind w:left="425" w:hanging="425"/>
      </w:pPr>
      <w:rPr>
        <w:rFonts w:hint="default" w:ascii="Wingdings" w:hAnsi="Wingdings"/>
      </w:rPr>
    </w:lvl>
  </w:abstractNum>
  <w:abstractNum w:abstractNumId="2">
    <w:nsid w:val="18E07410"/>
    <w:multiLevelType w:val="singleLevel"/>
    <w:tmpl w:val="18E07410"/>
    <w:lvl w:ilvl="0" w:tentative="0">
      <w:start w:val="1"/>
      <w:numFmt w:val="bullet"/>
      <w:lvlText w:val=""/>
      <w:lvlJc w:val="left"/>
      <w:pPr>
        <w:tabs>
          <w:tab w:val="left" w:pos="425"/>
        </w:tabs>
        <w:ind w:left="425" w:hanging="425"/>
      </w:pPr>
      <w:rPr>
        <w:rFonts w:hint="default" w:ascii="Wingdings" w:hAnsi="Wingdings"/>
      </w:rPr>
    </w:lvl>
  </w:abstractNum>
  <w:abstractNum w:abstractNumId="3">
    <w:nsid w:val="44147C22"/>
    <w:multiLevelType w:val="singleLevel"/>
    <w:tmpl w:val="44147C22"/>
    <w:lvl w:ilvl="0" w:tentative="0">
      <w:start w:val="1"/>
      <w:numFmt w:val="bullet"/>
      <w:lvlText w:val=""/>
      <w:lvlJc w:val="left"/>
      <w:pPr>
        <w:tabs>
          <w:tab w:val="left" w:pos="420"/>
        </w:tabs>
        <w:ind w:left="420" w:hanging="420"/>
      </w:pPr>
      <w:rPr>
        <w:rFonts w:hint="default" w:ascii="Wingdings" w:hAnsi="Wingdings"/>
      </w:rPr>
    </w:lvl>
  </w:abstractNum>
  <w:abstractNum w:abstractNumId="4">
    <w:nsid w:val="44966F33"/>
    <w:multiLevelType w:val="singleLevel"/>
    <w:tmpl w:val="44966F33"/>
    <w:lvl w:ilvl="0" w:tentative="0">
      <w:start w:val="1"/>
      <w:numFmt w:val="bullet"/>
      <w:lvlText w:val=""/>
      <w:lvlJc w:val="left"/>
      <w:pPr>
        <w:tabs>
          <w:tab w:val="left" w:pos="425"/>
        </w:tabs>
        <w:ind w:left="425" w:hanging="425"/>
      </w:pPr>
      <w:rPr>
        <w:rFonts w:hint="default" w:ascii="Wingdings" w:hAnsi="Wingdings"/>
      </w:rPr>
    </w:lvl>
  </w:abstractNum>
  <w:abstractNum w:abstractNumId="5">
    <w:nsid w:val="4A893519"/>
    <w:multiLevelType w:val="singleLevel"/>
    <w:tmpl w:val="4A893519"/>
    <w:lvl w:ilvl="0" w:tentative="0">
      <w:start w:val="1"/>
      <w:numFmt w:val="bullet"/>
      <w:lvlText w:val=""/>
      <w:lvlJc w:val="left"/>
      <w:pPr>
        <w:tabs>
          <w:tab w:val="left" w:pos="425"/>
        </w:tabs>
        <w:ind w:left="425" w:hanging="425"/>
      </w:pPr>
      <w:rPr>
        <w:rFonts w:hint="default" w:ascii="Wingdings" w:hAnsi="Wingdings"/>
      </w:rPr>
    </w:lvl>
  </w:abstractNum>
  <w:abstractNum w:abstractNumId="6">
    <w:nsid w:val="4A9C7B1C"/>
    <w:multiLevelType w:val="multilevel"/>
    <w:tmpl w:val="4A9C7B1C"/>
    <w:lvl w:ilvl="0" w:tentative="0">
      <w:start w:val="1"/>
      <w:numFmt w:val="decimal"/>
      <w:lvlText w:val="%1"/>
      <w:lvlJc w:val="left"/>
      <w:pPr>
        <w:tabs>
          <w:tab w:val="left" w:pos="425"/>
        </w:tabs>
        <w:ind w:left="425" w:hanging="425"/>
      </w:pPr>
      <w:rPr>
        <w:rFonts w:hint="eastAsia" w:cs="Times New Roman"/>
      </w:rPr>
    </w:lvl>
    <w:lvl w:ilvl="1" w:tentative="0">
      <w:start w:val="1"/>
      <w:numFmt w:val="decimal"/>
      <w:lvlText w:val="%1.%2"/>
      <w:lvlJc w:val="left"/>
      <w:pPr>
        <w:tabs>
          <w:tab w:val="left" w:pos="992"/>
        </w:tabs>
        <w:ind w:left="992" w:hanging="567"/>
      </w:pPr>
      <w:rPr>
        <w:rFonts w:hint="eastAsia" w:cs="Times New Roman"/>
      </w:rPr>
    </w:lvl>
    <w:lvl w:ilvl="2" w:tentative="0">
      <w:start w:val="1"/>
      <w:numFmt w:val="decimal"/>
      <w:pStyle w:val="3"/>
      <w:lvlText w:val="%1.%2.%3"/>
      <w:lvlJc w:val="left"/>
      <w:pPr>
        <w:tabs>
          <w:tab w:val="left" w:pos="3976"/>
        </w:tabs>
        <w:ind w:left="3463" w:hanging="567"/>
      </w:pPr>
      <w:rPr>
        <w:rFonts w:hint="eastAsia" w:cs="Times New Roman"/>
      </w:rPr>
    </w:lvl>
    <w:lvl w:ilvl="3" w:tentative="0">
      <w:start w:val="1"/>
      <w:numFmt w:val="decimal"/>
      <w:lvlText w:val="%1.%2.%3.%4"/>
      <w:lvlJc w:val="left"/>
      <w:pPr>
        <w:tabs>
          <w:tab w:val="left" w:pos="2716"/>
        </w:tabs>
        <w:ind w:left="1984" w:hanging="708"/>
      </w:pPr>
      <w:rPr>
        <w:rFonts w:hint="eastAsia" w:cs="Times New Roman"/>
      </w:rPr>
    </w:lvl>
    <w:lvl w:ilvl="4" w:tentative="0">
      <w:start w:val="1"/>
      <w:numFmt w:val="decimal"/>
      <w:lvlText w:val="%1.%2.%3.%4.%5"/>
      <w:lvlJc w:val="left"/>
      <w:pPr>
        <w:tabs>
          <w:tab w:val="left" w:pos="3501"/>
        </w:tabs>
        <w:ind w:left="2551" w:hanging="850"/>
      </w:pPr>
      <w:rPr>
        <w:rFonts w:hint="eastAsia" w:cs="Times New Roman"/>
      </w:rPr>
    </w:lvl>
    <w:lvl w:ilvl="5" w:tentative="0">
      <w:start w:val="1"/>
      <w:numFmt w:val="decimal"/>
      <w:lvlText w:val="%1.%2.%3.%4.%5.%6"/>
      <w:lvlJc w:val="left"/>
      <w:pPr>
        <w:tabs>
          <w:tab w:val="left" w:pos="4286"/>
        </w:tabs>
        <w:ind w:left="3260" w:hanging="1134"/>
      </w:pPr>
      <w:rPr>
        <w:rFonts w:hint="eastAsia" w:cs="Times New Roman"/>
      </w:rPr>
    </w:lvl>
    <w:lvl w:ilvl="6" w:tentative="0">
      <w:start w:val="1"/>
      <w:numFmt w:val="decimal"/>
      <w:lvlText w:val="%1.%2.%3.%4.%5.%6.%7"/>
      <w:lvlJc w:val="left"/>
      <w:pPr>
        <w:tabs>
          <w:tab w:val="left" w:pos="5071"/>
        </w:tabs>
        <w:ind w:left="3827" w:hanging="1276"/>
      </w:pPr>
      <w:rPr>
        <w:rFonts w:hint="eastAsia" w:cs="Times New Roman"/>
      </w:rPr>
    </w:lvl>
    <w:lvl w:ilvl="7" w:tentative="0">
      <w:start w:val="1"/>
      <w:numFmt w:val="decimal"/>
      <w:lvlText w:val="%1.%2.%3.%4.%5.%6.%7.%8"/>
      <w:lvlJc w:val="left"/>
      <w:pPr>
        <w:tabs>
          <w:tab w:val="left" w:pos="5856"/>
        </w:tabs>
        <w:ind w:left="4394" w:hanging="1418"/>
      </w:pPr>
      <w:rPr>
        <w:rFonts w:hint="eastAsia" w:cs="Times New Roman"/>
      </w:rPr>
    </w:lvl>
    <w:lvl w:ilvl="8" w:tentative="0">
      <w:start w:val="1"/>
      <w:numFmt w:val="decimal"/>
      <w:lvlText w:val="%1.%2.%3.%4.%5.%6.%7.%8.%9"/>
      <w:lvlJc w:val="left"/>
      <w:pPr>
        <w:tabs>
          <w:tab w:val="left" w:pos="6282"/>
        </w:tabs>
        <w:ind w:left="5102" w:hanging="1700"/>
      </w:pPr>
      <w:rPr>
        <w:rFonts w:hint="eastAsia" w:cs="Times New Roman"/>
      </w:rPr>
    </w:lvl>
  </w:abstractNum>
  <w:abstractNum w:abstractNumId="7">
    <w:nsid w:val="5B6D2607"/>
    <w:multiLevelType w:val="singleLevel"/>
    <w:tmpl w:val="5B6D2607"/>
    <w:lvl w:ilvl="0" w:tentative="0">
      <w:start w:val="1"/>
      <w:numFmt w:val="bullet"/>
      <w:lvlText w:val=""/>
      <w:lvlJc w:val="left"/>
      <w:pPr>
        <w:tabs>
          <w:tab w:val="left" w:pos="425"/>
        </w:tabs>
        <w:ind w:left="425" w:hanging="425"/>
      </w:pPr>
      <w:rPr>
        <w:rFonts w:hint="default" w:ascii="Wingdings" w:hAnsi="Wingdings"/>
      </w:rPr>
    </w:lvl>
  </w:abstractNum>
  <w:num w:numId="1">
    <w:abstractNumId w:val="6"/>
  </w:num>
  <w:num w:numId="2">
    <w:abstractNumId w:val="0"/>
  </w:num>
  <w:num w:numId="3">
    <w:abstractNumId w:val="7"/>
  </w:num>
  <w:num w:numId="4">
    <w:abstractNumId w:val="1"/>
  </w:num>
  <w:num w:numId="5">
    <w:abstractNumId w:val="4"/>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3C05F0"/>
    <w:rsid w:val="00733D43"/>
    <w:rsid w:val="00A531B6"/>
    <w:rsid w:val="0156379E"/>
    <w:rsid w:val="04C11DFC"/>
    <w:rsid w:val="0CD37E84"/>
    <w:rsid w:val="0DE06C7E"/>
    <w:rsid w:val="11B51819"/>
    <w:rsid w:val="136E3579"/>
    <w:rsid w:val="137F7253"/>
    <w:rsid w:val="18B800A1"/>
    <w:rsid w:val="1F365AAA"/>
    <w:rsid w:val="22EF5AD0"/>
    <w:rsid w:val="28FA600D"/>
    <w:rsid w:val="293C05F0"/>
    <w:rsid w:val="2D513B8A"/>
    <w:rsid w:val="2DDC7647"/>
    <w:rsid w:val="3BF81CCC"/>
    <w:rsid w:val="3E980D29"/>
    <w:rsid w:val="4A1C3430"/>
    <w:rsid w:val="4D93277E"/>
    <w:rsid w:val="558225DD"/>
    <w:rsid w:val="55B05AD0"/>
    <w:rsid w:val="58383F39"/>
    <w:rsid w:val="68BA46B5"/>
    <w:rsid w:val="6C9808F8"/>
    <w:rsid w:val="6F4265EB"/>
    <w:rsid w:val="73507CF3"/>
    <w:rsid w:val="75B80016"/>
    <w:rsid w:val="76FE6CF7"/>
    <w:rsid w:val="7DBF10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nhideWhenUsed="0" w:uiPriority="0"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qFormat="1"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rFonts w:ascii="Times New Roman" w:hAnsi="Times New Roman"/>
      <w:b/>
      <w:bCs/>
      <w:kern w:val="44"/>
      <w:sz w:val="44"/>
      <w:szCs w:val="44"/>
    </w:rPr>
  </w:style>
  <w:style w:type="paragraph" w:styleId="3">
    <w:name w:val="heading 3"/>
    <w:basedOn w:val="1"/>
    <w:next w:val="4"/>
    <w:qFormat/>
    <w:uiPriority w:val="99"/>
    <w:pPr>
      <w:keepNext/>
      <w:keepLines/>
      <w:numPr>
        <w:ilvl w:val="2"/>
        <w:numId w:val="1"/>
      </w:numPr>
      <w:spacing w:before="260" w:after="260" w:line="416" w:lineRule="auto"/>
      <w:outlineLvl w:val="2"/>
    </w:pPr>
    <w:rPr>
      <w:rFonts w:ascii="Times New Roman" w:hAnsi="Times New Roman"/>
      <w:b/>
      <w:bCs/>
      <w:sz w:val="32"/>
      <w:szCs w:val="32"/>
    </w:rPr>
  </w:style>
  <w:style w:type="paragraph" w:styleId="5">
    <w:name w:val="heading 7"/>
    <w:basedOn w:val="1"/>
    <w:next w:val="1"/>
    <w:qFormat/>
    <w:uiPriority w:val="0"/>
    <w:pPr>
      <w:keepNext/>
      <w:tabs>
        <w:tab w:val="left" w:pos="2235"/>
      </w:tabs>
      <w:ind w:left="-1" w:leftChars="-1" w:hanging="1"/>
      <w:outlineLvl w:val="6"/>
    </w:pPr>
    <w:rPr>
      <w:rFonts w:ascii="仿宋_GB2312" w:hAnsi="宋体" w:eastAsia="仿宋_GB2312"/>
      <w:sz w:val="30"/>
      <w:szCs w:val="20"/>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style>
  <w:style w:type="paragraph" w:styleId="6">
    <w:name w:val="List Bullet"/>
    <w:basedOn w:val="1"/>
    <w:qFormat/>
    <w:uiPriority w:val="0"/>
    <w:pPr>
      <w:numPr>
        <w:ilvl w:val="0"/>
        <w:numId w:val="2"/>
      </w:numPr>
    </w:pPr>
  </w:style>
  <w:style w:type="paragraph" w:styleId="7">
    <w:name w:val="Body Text"/>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8">
    <w:name w:val="Body Text Indent"/>
    <w:basedOn w:val="1"/>
    <w:unhideWhenUsed/>
    <w:qFormat/>
    <w:uiPriority w:val="99"/>
    <w:pPr>
      <w:spacing w:after="120"/>
      <w:ind w:left="420" w:leftChars="200"/>
    </w:p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qFormat/>
    <w:uiPriority w:val="39"/>
    <w:rPr>
      <w:rFonts w:ascii="Times New Roman" w:hAnsi="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25</Words>
  <Characters>37</Characters>
  <Lines>0</Lines>
  <Paragraphs>0</Paragraphs>
  <TotalTime>0</TotalTime>
  <ScaleCrop>false</ScaleCrop>
  <LinksUpToDate>false</LinksUpToDate>
  <CharactersWithSpaces>41</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2020-04-08T12:25:00Z</dcterms:created>
  <dc:creator>鑫华福</dc:creator>
  <cp:lastModifiedBy>丹妮</cp:lastModifiedBy>
  <dcterms:modified xsi:type="dcterms:W3CDTF">2020-05-11T06:39:49Z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