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pPr>
      <w:bookmarkStart w:id="3" w:name="_GoBack"/>
      <w:bookmarkEnd w:id="3"/>
    </w:p>
    <w:p>
      <w:pPr>
        <w:jc w:val="center"/>
        <w:rPr>
          <w:rFonts w:hint="eastAsia" w:ascii="宋体" w:hAnsi="宋体"/>
          <w:b/>
          <w:bCs/>
          <w:color w:val="FF0000"/>
          <w:kern w:val="44"/>
          <w:sz w:val="72"/>
          <w:szCs w:val="72"/>
          <w:lang w:val="en-US" w:eastAsia="zh-CN" w:bidi="ar-SA"/>
        </w:rPr>
      </w:pPr>
      <w:r>
        <w:rPr>
          <w:rFonts w:hint="eastAsia" w:ascii="宋体" w:hAnsi="宋体"/>
          <w:b/>
          <w:bCs/>
          <w:color w:val="FF0000"/>
          <w:kern w:val="44"/>
          <w:sz w:val="72"/>
          <w:szCs w:val="72"/>
          <w:lang w:val="en-US" w:eastAsia="zh-CN" w:bidi="ar-SA"/>
        </w:rPr>
        <w:t>技 术 方 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i w:val="0"/>
          <w:color w:val="FF0000"/>
          <w:kern w:val="0"/>
          <w:sz w:val="36"/>
          <w:szCs w:val="36"/>
          <w:u w:val="none"/>
          <w:lang w:val="en-US" w:eastAsia="zh-CN" w:bidi="ar"/>
        </w:rPr>
      </w:pPr>
      <w:r>
        <w:rPr>
          <w:rFonts w:hint="eastAsia" w:ascii="宋体" w:hAnsi="宋体" w:cs="宋体"/>
          <w:b/>
          <w:bCs/>
          <w:i w:val="0"/>
          <w:color w:val="FF0000"/>
          <w:kern w:val="0"/>
          <w:sz w:val="36"/>
          <w:szCs w:val="36"/>
          <w:u w:val="none"/>
          <w:lang w:val="en-US" w:eastAsia="zh-CN" w:bidi="ar"/>
        </w:rPr>
        <w:t>四</w:t>
      </w:r>
      <w:r>
        <w:rPr>
          <w:rFonts w:hint="eastAsia" w:ascii="宋体" w:hAnsi="宋体" w:eastAsia="宋体" w:cs="宋体"/>
          <w:b/>
          <w:bCs/>
          <w:i w:val="0"/>
          <w:color w:val="FF0000"/>
          <w:kern w:val="0"/>
          <w:sz w:val="36"/>
          <w:szCs w:val="36"/>
          <w:u w:val="none"/>
          <w:lang w:val="en-US" w:eastAsia="zh-CN" w:bidi="ar"/>
        </w:rPr>
        <w:tab/>
      </w:r>
      <w:r>
        <w:rPr>
          <w:rFonts w:hint="eastAsia" w:ascii="宋体" w:hAnsi="宋体" w:eastAsia="宋体" w:cs="宋体"/>
          <w:b/>
          <w:bCs/>
          <w:i w:val="0"/>
          <w:color w:val="FF0000"/>
          <w:kern w:val="0"/>
          <w:sz w:val="36"/>
          <w:szCs w:val="36"/>
          <w:u w:val="none"/>
          <w:lang w:val="en-US" w:eastAsia="zh-CN" w:bidi="ar"/>
        </w:rPr>
        <w:t>、</w:t>
      </w:r>
      <w:r>
        <w:rPr>
          <w:rFonts w:hint="eastAsia" w:ascii="宋体" w:hAnsi="宋体" w:cs="宋体"/>
          <w:b/>
          <w:bCs/>
          <w:i w:val="0"/>
          <w:color w:val="FF0000"/>
          <w:kern w:val="0"/>
          <w:sz w:val="36"/>
          <w:szCs w:val="36"/>
          <w:u w:val="none"/>
          <w:lang w:val="en-US" w:eastAsia="zh-CN" w:bidi="ar"/>
        </w:rPr>
        <w:t>常用</w:t>
      </w:r>
      <w:r>
        <w:rPr>
          <w:rFonts w:hint="eastAsia" w:ascii="宋体" w:hAnsi="宋体" w:eastAsia="宋体" w:cs="宋体"/>
          <w:b/>
          <w:bCs/>
          <w:i w:val="0"/>
          <w:color w:val="FF0000"/>
          <w:kern w:val="0"/>
          <w:sz w:val="36"/>
          <w:szCs w:val="36"/>
          <w:u w:val="none"/>
          <w:lang w:val="en-US" w:eastAsia="zh-CN" w:bidi="ar"/>
        </w:rPr>
        <w:t>测量仪器</w:t>
      </w:r>
      <w:r>
        <w:rPr>
          <w:rFonts w:hint="eastAsia" w:ascii="宋体" w:hAnsi="宋体" w:cs="宋体"/>
          <w:b/>
          <w:bCs/>
          <w:i w:val="0"/>
          <w:color w:val="FF0000"/>
          <w:kern w:val="0"/>
          <w:sz w:val="36"/>
          <w:szCs w:val="36"/>
          <w:u w:val="none"/>
          <w:lang w:val="en-US" w:eastAsia="zh-CN" w:bidi="ar"/>
        </w:rPr>
        <w:t>仪表</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数字式双钳相位伏安表测量电流小于1mA～5A</w:t>
      </w:r>
    </w:p>
    <w:p>
      <w:pPr>
        <w:snapToGrid w:val="0"/>
        <w:spacing w:line="360" w:lineRule="auto"/>
        <w:rPr>
          <w:rFonts w:hint="default" w:ascii="宋体" w:hAnsi="宋体" w:eastAsia="宋体" w:cs="Times New Roman"/>
          <w:b/>
          <w:bCs/>
          <w:snapToGrid/>
          <w:color w:val="FF0000"/>
          <w:kern w:val="44"/>
          <w:sz w:val="30"/>
          <w:szCs w:val="30"/>
          <w:lang w:val="en-US" w:eastAsia="zh-CN" w:bidi="ar-SA"/>
        </w:rPr>
      </w:pPr>
      <w:r>
        <w:rPr>
          <w:rFonts w:hint="eastAsia" w:ascii="宋体" w:hAnsi="宋体" w:eastAsia="宋体" w:cs="Times New Roman"/>
          <w:b/>
          <w:bCs/>
          <w:snapToGrid/>
          <w:color w:val="FF0000"/>
          <w:kern w:val="44"/>
          <w:sz w:val="30"/>
          <w:szCs w:val="30"/>
          <w:lang w:val="en-US" w:eastAsia="zh-CN" w:bidi="ar-SA"/>
        </w:rPr>
        <w:tab/>
      </w:r>
      <w:r>
        <w:rPr>
          <w:rFonts w:hint="eastAsia" w:ascii="宋体" w:hAnsi="宋体" w:cs="Times New Roman"/>
          <w:b/>
          <w:bCs/>
          <w:snapToGrid/>
          <w:color w:val="FF0000"/>
          <w:kern w:val="44"/>
          <w:sz w:val="30"/>
          <w:szCs w:val="30"/>
          <w:lang w:val="en-US" w:eastAsia="zh-CN" w:bidi="ar-SA"/>
        </w:rPr>
        <w:t>ED0604</w:t>
      </w:r>
      <w:r>
        <w:rPr>
          <w:rFonts w:hint="eastAsia" w:ascii="宋体" w:hAnsi="宋体" w:eastAsia="宋体" w:cs="Times New Roman"/>
          <w:b/>
          <w:bCs/>
          <w:snapToGrid/>
          <w:color w:val="FF0000"/>
          <w:kern w:val="44"/>
          <w:sz w:val="30"/>
          <w:szCs w:val="30"/>
          <w:lang w:val="en-US" w:eastAsia="zh-CN" w:bidi="ar-SA"/>
        </w:rPr>
        <w:t>数字式双钳相位伏安表（</w:t>
      </w:r>
      <w:r>
        <w:rPr>
          <w:rFonts w:hint="eastAsia" w:ascii="宋体" w:hAnsi="宋体" w:eastAsia="宋体" w:cs="Times New Roman"/>
          <w:b/>
          <w:bCs/>
          <w:snapToGrid/>
          <w:color w:val="FF0000"/>
          <w:kern w:val="44"/>
          <w:sz w:val="30"/>
          <w:szCs w:val="30"/>
          <w:lang w:val="en-US" w:eastAsia="zh-CN" w:bidi="ar-SA"/>
        </w:rPr>
        <w:tab/>
      </w:r>
      <w:r>
        <w:rPr>
          <w:rFonts w:hint="eastAsia" w:ascii="宋体" w:hAnsi="宋体" w:eastAsia="宋体" w:cs="Times New Roman"/>
          <w:b/>
          <w:bCs/>
          <w:snapToGrid/>
          <w:color w:val="FF0000"/>
          <w:kern w:val="44"/>
          <w:sz w:val="30"/>
          <w:szCs w:val="30"/>
          <w:lang w:val="en-US" w:eastAsia="zh-CN" w:bidi="ar-SA"/>
        </w:rPr>
        <w:t>测量电流小于1mA～5A）</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1、产品图片</w:t>
      </w:r>
    </w:p>
    <w:p>
      <w:pPr>
        <w:numPr>
          <w:ilvl w:val="0"/>
          <w:numId w:val="0"/>
        </w:numPr>
        <w:spacing w:line="360" w:lineRule="auto"/>
        <w:jc w:val="center"/>
        <w:rPr>
          <w:rFonts w:hint="eastAsia" w:ascii="宋体" w:hAnsi="宋体" w:eastAsia="宋体" w:cs="宋体"/>
          <w:b/>
          <w:bCs/>
          <w:kern w:val="0"/>
          <w:sz w:val="28"/>
          <w:szCs w:val="28"/>
          <w:lang w:val="en-US" w:eastAsia="zh-CN"/>
        </w:rPr>
      </w:pPr>
      <w:r>
        <w:drawing>
          <wp:inline distT="0" distB="0" distL="114300" distR="114300">
            <wp:extent cx="5194300" cy="38989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5194300" cy="3898900"/>
                    </a:xfrm>
                    <a:prstGeom prst="rect">
                      <a:avLst/>
                    </a:prstGeom>
                    <a:noFill/>
                    <a:ln>
                      <a:noFill/>
                    </a:ln>
                  </pic:spPr>
                </pic:pic>
              </a:graphicData>
            </a:graphic>
          </wp:inline>
        </w:drawing>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2、产品介绍</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该仪表是专为现场测量电压、电流及相位而设计的一种高精度、低价位、手持式、双通道输入测量仪表。用该表可以很方便地在现场测量U-U、I-I及U-I之间的相位，判别感性、容性电路及三相电压的相序，检测变压器的接线组别，测试二次回路和母差保护系统，读出差动保护各组CT之间的相位关系，检查电度表的接线正确与否等。采用钳形电流互感器转换方式输入被测电流，因而测量时无需断开被测线路。测量U1-U2之间相位时，两输入回路完全绝缘隔离，因此完全避免了可能出现的误接线造成的被测线路短路、以致烧毁测量仪表。显示器采用了高反差液晶显示屏，字高达25mm，屏幕角度可自由转换约70°，以获得最佳视觉效果。</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仪表外壳采用工程绝缘材料，另配橡皮防振保护套，安全、可靠。</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3、技术参数</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显示位数：三位半</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采样速率：3次/秒</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电源：单个 9V 迭层电池、电源电流小于5mA</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外形尺寸：表壳尺寸：192mm×95mm×55mm</w:t>
      </w:r>
    </w:p>
    <w:p>
      <w:pPr>
        <w:pageBreakBefore w:val="0"/>
        <w:kinsoku/>
        <w:wordWrap/>
        <w:overflowPunct/>
        <w:topLinePunct w:val="0"/>
        <w:autoSpaceDE w:val="0"/>
        <w:autoSpaceDN w:val="0"/>
        <w:bidi w:val="0"/>
        <w:adjustRightInd/>
        <w:spacing w:line="360" w:lineRule="auto"/>
        <w:ind w:firstLine="1680" w:firstLineChars="700"/>
        <w:textAlignment w:val="auto"/>
        <w:rPr>
          <w:rFonts w:hint="eastAsia"/>
          <w:sz w:val="24"/>
          <w:szCs w:val="24"/>
          <w:lang w:val="en-US" w:eastAsia="zh-CN"/>
        </w:rPr>
      </w:pPr>
      <w:r>
        <w:rPr>
          <w:rFonts w:hint="eastAsia"/>
          <w:sz w:val="24"/>
          <w:szCs w:val="24"/>
          <w:lang w:val="en-US" w:eastAsia="zh-CN"/>
        </w:rPr>
        <w:t>钳壳尺寸：140mm×42mm×20mm</w:t>
      </w:r>
    </w:p>
    <w:p>
      <w:pPr>
        <w:pageBreakBefore w:val="0"/>
        <w:kinsoku/>
        <w:wordWrap/>
        <w:overflowPunct/>
        <w:topLinePunct w:val="0"/>
        <w:autoSpaceDE w:val="0"/>
        <w:autoSpaceDN w:val="0"/>
        <w:bidi w:val="0"/>
        <w:adjustRightInd/>
        <w:spacing w:line="360" w:lineRule="auto"/>
        <w:ind w:firstLine="1680" w:firstLineChars="700"/>
        <w:textAlignment w:val="auto"/>
        <w:rPr>
          <w:rFonts w:hint="eastAsia"/>
          <w:sz w:val="24"/>
          <w:szCs w:val="24"/>
          <w:lang w:val="en-US" w:eastAsia="zh-CN"/>
        </w:rPr>
      </w:pPr>
      <w:r>
        <w:rPr>
          <w:rFonts w:hint="eastAsia"/>
          <w:sz w:val="24"/>
          <w:szCs w:val="24"/>
          <w:lang w:val="en-US" w:eastAsia="zh-CN"/>
        </w:rPr>
        <w:t>钳口尺寸：Φ7mm×9mm</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重量： 表体：280g</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测量钳：2×200g</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ascii="宋体" w:hAnsi="宋体" w:eastAsia="宋体" w:cs="宋体"/>
          <w:sz w:val="24"/>
          <w:szCs w:val="24"/>
        </w:rPr>
      </w:pPr>
      <w:r>
        <w:rPr>
          <w:rFonts w:hint="eastAsia"/>
          <w:sz w:val="24"/>
          <w:szCs w:val="24"/>
          <w:lang w:val="en-US" w:eastAsia="zh-CN"/>
        </w:rPr>
        <w:t>储存条件：温度：－10℃～50℃</w:t>
      </w: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3"/>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4"/>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5"/>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6"/>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7"/>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7"/>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8"/>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288133217"/>
      <w:bookmarkStart w:id="1" w:name="_Toc161053131"/>
      <w:bookmarkStart w:id="2" w:name="_Toc288123855"/>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pPr>
        <w:pStyle w:val="4"/>
        <w:rPr>
          <w:rFonts w:hint="eastAsia"/>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UniversalMath1 BT">
    <w:panose1 w:val="05050102010205020602"/>
    <w:charset w:val="00"/>
    <w:family w:val="auto"/>
    <w:pitch w:val="default"/>
    <w:sig w:usb0="00000000" w:usb1="00000000" w:usb2="00000000" w:usb3="00000000" w:csb0="0000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6"/>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4A9C7B1C"/>
    <w:multiLevelType w:val="multilevel"/>
    <w:tmpl w:val="4A9C7B1C"/>
    <w:lvl w:ilvl="0" w:tentative="0">
      <w:start w:val="1"/>
      <w:numFmt w:val="decimal"/>
      <w:lvlText w:val="%1"/>
      <w:lvlJc w:val="left"/>
      <w:pPr>
        <w:tabs>
          <w:tab w:val="left" w:pos="425"/>
        </w:tabs>
        <w:ind w:left="425" w:hanging="425"/>
      </w:pPr>
      <w:rPr>
        <w:rFonts w:hint="eastAsia" w:cs="Times New Roman"/>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pStyle w:val="3"/>
      <w:lvlText w:val="%1.%2.%3"/>
      <w:lvlJc w:val="left"/>
      <w:pPr>
        <w:tabs>
          <w:tab w:val="left" w:pos="3976"/>
        </w:tabs>
        <w:ind w:left="3463" w:hanging="567"/>
      </w:pPr>
      <w:rPr>
        <w:rFonts w:hint="eastAsia" w:cs="Times New Roman"/>
      </w:rPr>
    </w:lvl>
    <w:lvl w:ilvl="3" w:tentative="0">
      <w:start w:val="1"/>
      <w:numFmt w:val="decimal"/>
      <w:lvlText w:val="%1.%2.%3.%4"/>
      <w:lvlJc w:val="left"/>
      <w:pPr>
        <w:tabs>
          <w:tab w:val="left" w:pos="2716"/>
        </w:tabs>
        <w:ind w:left="1984" w:hanging="708"/>
      </w:pPr>
      <w:rPr>
        <w:rFonts w:hint="eastAsia" w:cs="Times New Roman"/>
      </w:rPr>
    </w:lvl>
    <w:lvl w:ilvl="4" w:tentative="0">
      <w:start w:val="1"/>
      <w:numFmt w:val="decimal"/>
      <w:lvlText w:val="%1.%2.%3.%4.%5"/>
      <w:lvlJc w:val="left"/>
      <w:pPr>
        <w:tabs>
          <w:tab w:val="left" w:pos="3501"/>
        </w:tabs>
        <w:ind w:left="2551" w:hanging="850"/>
      </w:pPr>
      <w:rPr>
        <w:rFonts w:hint="eastAsia" w:cs="Times New Roman"/>
      </w:rPr>
    </w:lvl>
    <w:lvl w:ilvl="5" w:tentative="0">
      <w:start w:val="1"/>
      <w:numFmt w:val="decimal"/>
      <w:lvlText w:val="%1.%2.%3.%4.%5.%6"/>
      <w:lvlJc w:val="left"/>
      <w:pPr>
        <w:tabs>
          <w:tab w:val="left" w:pos="4286"/>
        </w:tabs>
        <w:ind w:left="3260" w:hanging="1134"/>
      </w:pPr>
      <w:rPr>
        <w:rFonts w:hint="eastAsia" w:cs="Times New Roman"/>
      </w:rPr>
    </w:lvl>
    <w:lvl w:ilvl="6" w:tentative="0">
      <w:start w:val="1"/>
      <w:numFmt w:val="decimal"/>
      <w:lvlText w:val="%1.%2.%3.%4.%5.%6.%7"/>
      <w:lvlJc w:val="left"/>
      <w:pPr>
        <w:tabs>
          <w:tab w:val="left" w:pos="5071"/>
        </w:tabs>
        <w:ind w:left="3827" w:hanging="1276"/>
      </w:pPr>
      <w:rPr>
        <w:rFonts w:hint="eastAsia" w:cs="Times New Roman"/>
      </w:rPr>
    </w:lvl>
    <w:lvl w:ilvl="7" w:tentative="0">
      <w:start w:val="1"/>
      <w:numFmt w:val="decimal"/>
      <w:lvlText w:val="%1.%2.%3.%4.%5.%6.%7.%8"/>
      <w:lvlJc w:val="left"/>
      <w:pPr>
        <w:tabs>
          <w:tab w:val="left" w:pos="5856"/>
        </w:tabs>
        <w:ind w:left="4394" w:hanging="1418"/>
      </w:pPr>
      <w:rPr>
        <w:rFonts w:hint="eastAsia" w:cs="Times New Roman"/>
      </w:rPr>
    </w:lvl>
    <w:lvl w:ilvl="8" w:tentative="0">
      <w:start w:val="1"/>
      <w:numFmt w:val="decimal"/>
      <w:lvlText w:val="%1.%2.%3.%4.%5.%6.%7.%8.%9"/>
      <w:lvlJc w:val="left"/>
      <w:pPr>
        <w:tabs>
          <w:tab w:val="left" w:pos="6282"/>
        </w:tabs>
        <w:ind w:left="5102" w:hanging="1700"/>
      </w:pPr>
      <w:rPr>
        <w:rFonts w:hint="eastAsia" w:cs="Times New Roman"/>
      </w:rPr>
    </w:lvl>
  </w:abstractNum>
  <w:abstractNum w:abstractNumId="7">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6"/>
  </w:num>
  <w:num w:numId="2">
    <w:abstractNumId w:val="0"/>
  </w:num>
  <w:num w:numId="3">
    <w:abstractNumId w:val="7"/>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0733D43"/>
    <w:rsid w:val="00A531B6"/>
    <w:rsid w:val="0156379E"/>
    <w:rsid w:val="04C11DFC"/>
    <w:rsid w:val="0CD37E84"/>
    <w:rsid w:val="0DE06C7E"/>
    <w:rsid w:val="11B51819"/>
    <w:rsid w:val="136E3579"/>
    <w:rsid w:val="18B800A1"/>
    <w:rsid w:val="1F365AAA"/>
    <w:rsid w:val="22EF5AD0"/>
    <w:rsid w:val="28FA600D"/>
    <w:rsid w:val="293C05F0"/>
    <w:rsid w:val="2D513B8A"/>
    <w:rsid w:val="2DDC7647"/>
    <w:rsid w:val="3BF81CCC"/>
    <w:rsid w:val="3E980D29"/>
    <w:rsid w:val="4A1C3430"/>
    <w:rsid w:val="4D93277E"/>
    <w:rsid w:val="558225DD"/>
    <w:rsid w:val="55B05AD0"/>
    <w:rsid w:val="58383F39"/>
    <w:rsid w:val="68BA46B5"/>
    <w:rsid w:val="6C9808F8"/>
    <w:rsid w:val="6F4265EB"/>
    <w:rsid w:val="73507CF3"/>
    <w:rsid w:val="75B80016"/>
    <w:rsid w:val="76FE6CF7"/>
    <w:rsid w:val="7DBF1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1"/>
    <w:next w:val="4"/>
    <w:qFormat/>
    <w:uiPriority w:val="99"/>
    <w:pPr>
      <w:keepNext/>
      <w:keepLines/>
      <w:numPr>
        <w:ilvl w:val="2"/>
        <w:numId w:val="1"/>
      </w:numPr>
      <w:spacing w:before="260" w:after="260" w:line="416" w:lineRule="auto"/>
      <w:outlineLvl w:val="2"/>
    </w:pPr>
    <w:rPr>
      <w:rFonts w:ascii="Times New Roman" w:hAnsi="Times New Roman"/>
      <w:b/>
      <w:bCs/>
      <w:sz w:val="32"/>
      <w:szCs w:val="32"/>
    </w:rPr>
  </w:style>
  <w:style w:type="paragraph" w:styleId="5">
    <w:name w:val="heading 7"/>
    <w:basedOn w:val="1"/>
    <w:next w:val="1"/>
    <w:qFormat/>
    <w:uiPriority w:val="0"/>
    <w:pPr>
      <w:keepNext/>
      <w:tabs>
        <w:tab w:val="left" w:pos="2235"/>
      </w:tabs>
      <w:ind w:left="-1" w:leftChars="-1" w:hanging="1"/>
      <w:outlineLvl w:val="6"/>
    </w:pPr>
    <w:rPr>
      <w:rFonts w:ascii="仿宋_GB2312" w:hAnsi="宋体" w:eastAsia="仿宋_GB2312"/>
      <w:sz w:val="30"/>
      <w:szCs w:val="20"/>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List Bullet"/>
    <w:basedOn w:val="1"/>
    <w:qFormat/>
    <w:uiPriority w:val="0"/>
    <w:pPr>
      <w:numPr>
        <w:ilvl w:val="0"/>
        <w:numId w:val="2"/>
      </w:numPr>
    </w:pPr>
  </w:style>
  <w:style w:type="paragraph" w:styleId="7">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Indent"/>
    <w:basedOn w:val="1"/>
    <w:unhideWhenUsed/>
    <w:qFormat/>
    <w:uiPriority w:val="99"/>
    <w:pPr>
      <w:spacing w:after="12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rPr>
      <w:rFonts w:ascii="Times New Roman" w:hAnsi="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25</Words>
  <Characters>37</Characters>
  <Lines>0</Lines>
  <Paragraphs>0</Paragraphs>
  <TotalTime>0</TotalTime>
  <ScaleCrop>false</ScaleCrop>
  <LinksUpToDate>false</LinksUpToDate>
  <CharactersWithSpaces>41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2020-05-11T02:44:44Z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